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42008">
      <w:pPr>
        <w:ind w:firstLine="1687" w:firstLineChars="600"/>
        <w:jc w:val="both"/>
        <w:rPr>
          <w:rFonts w:hint="eastAsia" w:ascii="仿宋" w:hAnsi="仿宋" w:eastAsia="仿宋" w:cs="仿宋"/>
          <w:b/>
          <w:sz w:val="28"/>
          <w:szCs w:val="28"/>
        </w:rPr>
      </w:pPr>
      <w:r>
        <w:rPr>
          <w:rFonts w:hint="eastAsia" w:ascii="仿宋" w:hAnsi="仿宋" w:eastAsia="仿宋" w:cs="仿宋"/>
          <w:b/>
          <w:sz w:val="28"/>
          <w:szCs w:val="28"/>
          <w:lang w:val="en-US" w:eastAsia="zh-CN"/>
        </w:rPr>
        <w:t>潍坊特钢集团有限公司路面挖补维修工程</w:t>
      </w:r>
      <w:r>
        <w:rPr>
          <w:rFonts w:hint="eastAsia" w:ascii="仿宋" w:hAnsi="仿宋" w:eastAsia="仿宋" w:cs="仿宋"/>
          <w:b/>
          <w:sz w:val="28"/>
          <w:szCs w:val="28"/>
        </w:rPr>
        <w:t>技术协议</w:t>
      </w:r>
    </w:p>
    <w:p w14:paraId="206C6120">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合同编号：</w:t>
      </w:r>
    </w:p>
    <w:p w14:paraId="01C9257E">
      <w:pPr>
        <w:tabs>
          <w:tab w:val="left" w:pos="6288"/>
        </w:tabs>
        <w:spacing w:line="480" w:lineRule="exact"/>
        <w:rPr>
          <w:rFonts w:hint="eastAsia" w:ascii="仿宋" w:hAnsi="仿宋" w:eastAsia="仿宋" w:cs="仿宋"/>
          <w:sz w:val="28"/>
          <w:szCs w:val="28"/>
          <w:lang w:val="en-US" w:eastAsia="zh-CN"/>
        </w:rPr>
      </w:pPr>
      <w:r>
        <w:rPr>
          <w:rFonts w:hint="eastAsia" w:ascii="仿宋" w:hAnsi="仿宋" w:eastAsia="仿宋" w:cs="仿宋"/>
          <w:sz w:val="28"/>
          <w:szCs w:val="28"/>
        </w:rPr>
        <w:t>甲方：</w:t>
      </w:r>
      <w:r>
        <w:rPr>
          <w:rFonts w:hint="eastAsia" w:ascii="仿宋" w:hAnsi="仿宋" w:eastAsia="仿宋" w:cs="仿宋"/>
          <w:sz w:val="28"/>
          <w:szCs w:val="28"/>
          <w:lang w:val="en-US" w:eastAsia="zh-CN"/>
        </w:rPr>
        <w:t>潍坊特钢集团有限公司</w:t>
      </w:r>
    </w:p>
    <w:p w14:paraId="380F19E9">
      <w:pPr>
        <w:spacing w:line="480" w:lineRule="exact"/>
        <w:rPr>
          <w:rFonts w:hint="eastAsia" w:ascii="仿宋" w:hAnsi="仿宋" w:eastAsia="仿宋" w:cs="仿宋"/>
          <w:sz w:val="28"/>
          <w:szCs w:val="28"/>
        </w:rPr>
      </w:pPr>
      <w:r>
        <w:rPr>
          <w:rFonts w:hint="eastAsia" w:ascii="仿宋" w:hAnsi="仿宋" w:eastAsia="仿宋" w:cs="仿宋"/>
          <w:sz w:val="28"/>
          <w:szCs w:val="28"/>
        </w:rPr>
        <w:t>乙方：</w:t>
      </w:r>
    </w:p>
    <w:p w14:paraId="6BDE230A">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甲乙双方就甲方</w:t>
      </w:r>
      <w:r>
        <w:rPr>
          <w:rFonts w:hint="eastAsia" w:ascii="仿宋" w:hAnsi="仿宋" w:eastAsia="仿宋" w:cs="仿宋"/>
          <w:sz w:val="28"/>
          <w:szCs w:val="28"/>
          <w:lang w:val="en-US" w:eastAsia="zh-CN"/>
        </w:rPr>
        <w:t>潍坊特钢集团有限公司挖补维修工程</w:t>
      </w:r>
      <w:r>
        <w:rPr>
          <w:rFonts w:hint="eastAsia" w:ascii="仿宋" w:hAnsi="仿宋" w:eastAsia="仿宋" w:cs="仿宋"/>
          <w:sz w:val="28"/>
          <w:szCs w:val="28"/>
        </w:rPr>
        <w:t>事宜及所涉及的技术问题经过充分协商，达成共识，形成协议如下：</w:t>
      </w:r>
    </w:p>
    <w:p w14:paraId="3EC9DF10">
      <w:pPr>
        <w:pStyle w:val="20"/>
        <w:numPr>
          <w:ilvl w:val="0"/>
          <w:numId w:val="1"/>
        </w:numPr>
        <w:spacing w:line="480" w:lineRule="exact"/>
        <w:ind w:left="0" w:firstLine="561" w:firstLineChars="0"/>
        <w:rPr>
          <w:rFonts w:hint="eastAsia" w:ascii="仿宋" w:hAnsi="仿宋" w:eastAsia="仿宋" w:cs="仿宋"/>
          <w:b/>
          <w:sz w:val="28"/>
          <w:szCs w:val="28"/>
        </w:rPr>
      </w:pPr>
      <w:r>
        <w:rPr>
          <w:rFonts w:hint="eastAsia" w:ascii="仿宋" w:hAnsi="仿宋" w:eastAsia="仿宋" w:cs="仿宋"/>
          <w:b/>
          <w:sz w:val="28"/>
          <w:szCs w:val="28"/>
        </w:rPr>
        <w:t>总则</w:t>
      </w:r>
    </w:p>
    <w:p w14:paraId="57D5DA97">
      <w:pPr>
        <w:pStyle w:val="20"/>
        <w:numPr>
          <w:ilvl w:val="1"/>
          <w:numId w:val="1"/>
        </w:numPr>
        <w:spacing w:line="480" w:lineRule="exact"/>
        <w:ind w:left="12" w:leftChars="0" w:firstLine="588" w:firstLineChars="0"/>
        <w:rPr>
          <w:rFonts w:hint="eastAsia" w:ascii="仿宋" w:hAnsi="仿宋" w:eastAsia="仿宋" w:cs="仿宋"/>
          <w:sz w:val="28"/>
          <w:szCs w:val="28"/>
        </w:rPr>
      </w:pPr>
      <w:r>
        <w:rPr>
          <w:rFonts w:hint="eastAsia" w:ascii="仿宋" w:hAnsi="仿宋" w:eastAsia="仿宋" w:cs="仿宋"/>
          <w:sz w:val="28"/>
          <w:szCs w:val="28"/>
        </w:rPr>
        <w:t>本协议的适用范围，仅限于</w:t>
      </w:r>
      <w:r>
        <w:rPr>
          <w:rFonts w:hint="eastAsia" w:ascii="仿宋" w:hAnsi="仿宋" w:eastAsia="仿宋" w:cs="仿宋"/>
          <w:sz w:val="28"/>
          <w:szCs w:val="28"/>
          <w:lang w:val="en-US" w:eastAsia="zh-CN"/>
        </w:rPr>
        <w:t>潍坊特钢集团有限公司挖补维修施工</w:t>
      </w:r>
      <w:r>
        <w:rPr>
          <w:rFonts w:hint="eastAsia" w:ascii="仿宋" w:hAnsi="仿宋" w:eastAsia="仿宋" w:cs="仿宋"/>
          <w:sz w:val="28"/>
          <w:szCs w:val="28"/>
        </w:rPr>
        <w:t>、</w:t>
      </w:r>
      <w:r>
        <w:rPr>
          <w:rFonts w:hint="eastAsia" w:ascii="仿宋" w:hAnsi="仿宋" w:eastAsia="仿宋" w:cs="仿宋"/>
          <w:sz w:val="28"/>
          <w:szCs w:val="28"/>
          <w:lang w:val="en-US" w:eastAsia="zh-CN"/>
        </w:rPr>
        <w:t>验收、</w:t>
      </w:r>
      <w:r>
        <w:rPr>
          <w:rFonts w:hint="eastAsia" w:ascii="仿宋" w:hAnsi="仿宋" w:eastAsia="仿宋" w:cs="仿宋"/>
          <w:sz w:val="28"/>
          <w:szCs w:val="28"/>
        </w:rPr>
        <w:t>售后服务等方面。</w:t>
      </w:r>
    </w:p>
    <w:p w14:paraId="312C900F">
      <w:pPr>
        <w:pStyle w:val="20"/>
        <w:numPr>
          <w:ilvl w:val="1"/>
          <w:numId w:val="1"/>
        </w:numPr>
        <w:spacing w:line="480" w:lineRule="exact"/>
        <w:ind w:left="12" w:leftChars="0" w:firstLine="588" w:firstLineChars="0"/>
        <w:rPr>
          <w:rFonts w:hint="eastAsia" w:ascii="仿宋" w:hAnsi="仿宋" w:eastAsia="仿宋" w:cs="仿宋"/>
          <w:sz w:val="28"/>
          <w:szCs w:val="28"/>
        </w:rPr>
      </w:pPr>
      <w:r>
        <w:rPr>
          <w:rFonts w:hint="eastAsia" w:ascii="仿宋" w:hAnsi="仿宋" w:eastAsia="仿宋" w:cs="仿宋"/>
          <w:sz w:val="28"/>
          <w:szCs w:val="28"/>
        </w:rPr>
        <w:t>本协议提出的是最低限度的技术要求，并未对一切技术细节做出规定，也未充分引述有关标准和规范条文，乙方应保证提供符合本协议和有关最新工业标准的成熟优质产品及其服务。对国家有关安全、环保、能源等强制性标准，必须满足其要求。</w:t>
      </w:r>
    </w:p>
    <w:p w14:paraId="772FECFA">
      <w:pPr>
        <w:pStyle w:val="20"/>
        <w:numPr>
          <w:ilvl w:val="1"/>
          <w:numId w:val="1"/>
        </w:numPr>
        <w:spacing w:line="480" w:lineRule="exact"/>
        <w:ind w:left="12" w:leftChars="0" w:firstLine="588" w:firstLineChars="0"/>
        <w:rPr>
          <w:rFonts w:hint="eastAsia" w:ascii="仿宋" w:hAnsi="仿宋" w:eastAsia="仿宋" w:cs="仿宋"/>
          <w:sz w:val="28"/>
          <w:szCs w:val="28"/>
        </w:rPr>
      </w:pPr>
      <w:r>
        <w:rPr>
          <w:rFonts w:hint="eastAsia" w:ascii="仿宋" w:hAnsi="仿宋" w:eastAsia="仿宋" w:cs="仿宋"/>
          <w:sz w:val="28"/>
          <w:szCs w:val="28"/>
        </w:rPr>
        <w:t>在签订合同后，甲方保留对本协议提出补充要求和修改的权利，乙方允诺予以配合。如提出修改，具体项目和条件由甲方、乙方商定。</w:t>
      </w:r>
    </w:p>
    <w:p w14:paraId="1F24CB58">
      <w:pPr>
        <w:pStyle w:val="20"/>
        <w:numPr>
          <w:ilvl w:val="1"/>
          <w:numId w:val="1"/>
        </w:numPr>
        <w:spacing w:line="480" w:lineRule="exact"/>
        <w:ind w:left="12" w:leftChars="0" w:firstLine="588" w:firstLineChars="0"/>
        <w:rPr>
          <w:rFonts w:hint="eastAsia" w:ascii="仿宋" w:hAnsi="仿宋" w:eastAsia="仿宋" w:cs="仿宋"/>
          <w:sz w:val="28"/>
          <w:szCs w:val="28"/>
        </w:rPr>
      </w:pPr>
      <w:r>
        <w:rPr>
          <w:rFonts w:hint="eastAsia" w:ascii="仿宋" w:hAnsi="仿宋" w:eastAsia="仿宋" w:cs="仿宋"/>
          <w:sz w:val="28"/>
          <w:szCs w:val="28"/>
        </w:rPr>
        <w:t>本协议所使用的标准与乙方所执行的标准发生矛盾时，按较高标准执行。标准以现行行业、国家、国际标准为准，如不一致时，按较高标准执行。</w:t>
      </w:r>
    </w:p>
    <w:p w14:paraId="324C52CE">
      <w:pPr>
        <w:pStyle w:val="20"/>
        <w:numPr>
          <w:ilvl w:val="1"/>
          <w:numId w:val="1"/>
        </w:numPr>
        <w:spacing w:line="480" w:lineRule="exact"/>
        <w:ind w:left="12" w:leftChars="0" w:firstLine="588" w:firstLineChars="0"/>
        <w:rPr>
          <w:rFonts w:hint="eastAsia" w:ascii="仿宋" w:hAnsi="仿宋" w:eastAsia="仿宋" w:cs="仿宋"/>
          <w:sz w:val="28"/>
          <w:szCs w:val="28"/>
        </w:rPr>
      </w:pPr>
      <w:r>
        <w:rPr>
          <w:rFonts w:hint="eastAsia" w:ascii="仿宋" w:hAnsi="仿宋" w:eastAsia="仿宋" w:cs="仿宋"/>
          <w:sz w:val="28"/>
          <w:szCs w:val="28"/>
        </w:rPr>
        <w:t>本协议规定的内容与合同正文、图纸、标准、规范、样本等不一致时，按较高要求执行。</w:t>
      </w:r>
    </w:p>
    <w:p w14:paraId="3B8921EC">
      <w:pPr>
        <w:pStyle w:val="20"/>
        <w:numPr>
          <w:ilvl w:val="1"/>
          <w:numId w:val="1"/>
        </w:numPr>
        <w:spacing w:line="480" w:lineRule="exact"/>
        <w:ind w:left="12" w:leftChars="0" w:firstLine="588" w:firstLineChars="0"/>
        <w:rPr>
          <w:rFonts w:hint="eastAsia" w:ascii="仿宋" w:hAnsi="仿宋" w:eastAsia="仿宋" w:cs="仿宋"/>
          <w:sz w:val="28"/>
          <w:szCs w:val="28"/>
        </w:rPr>
      </w:pPr>
      <w:r>
        <w:rPr>
          <w:rFonts w:hint="eastAsia" w:ascii="仿宋" w:hAnsi="仿宋" w:eastAsia="仿宋" w:cs="仿宋"/>
          <w:sz w:val="28"/>
          <w:szCs w:val="28"/>
        </w:rPr>
        <w:t>文件的规定，不能免除乙方对供货或工程应承担的责任和义务。</w:t>
      </w:r>
    </w:p>
    <w:p w14:paraId="239A2158">
      <w:pPr>
        <w:pStyle w:val="20"/>
        <w:numPr>
          <w:ilvl w:val="1"/>
          <w:numId w:val="1"/>
        </w:numPr>
        <w:spacing w:line="480" w:lineRule="exact"/>
        <w:ind w:left="12" w:leftChars="0" w:firstLine="588" w:firstLineChars="0"/>
        <w:rPr>
          <w:rFonts w:hint="eastAsia" w:ascii="仿宋" w:hAnsi="仿宋" w:eastAsia="仿宋" w:cs="仿宋"/>
          <w:sz w:val="28"/>
          <w:szCs w:val="28"/>
        </w:rPr>
      </w:pPr>
      <w:r>
        <w:rPr>
          <w:rFonts w:hint="eastAsia" w:ascii="仿宋" w:hAnsi="仿宋" w:eastAsia="仿宋" w:cs="仿宋"/>
          <w:sz w:val="28"/>
          <w:szCs w:val="28"/>
        </w:rPr>
        <w:t>甲方对乙方文件的审核不能免除乙方满足订货合同所应承担的责任。</w:t>
      </w:r>
    </w:p>
    <w:p w14:paraId="2807CA26">
      <w:pPr>
        <w:pStyle w:val="20"/>
        <w:numPr>
          <w:ilvl w:val="1"/>
          <w:numId w:val="1"/>
        </w:numPr>
        <w:spacing w:line="480" w:lineRule="exact"/>
        <w:ind w:left="0" w:firstLine="588" w:firstLineChars="210"/>
        <w:rPr>
          <w:rFonts w:hint="eastAsia" w:ascii="仿宋" w:hAnsi="仿宋" w:eastAsia="仿宋" w:cs="仿宋"/>
          <w:sz w:val="28"/>
          <w:szCs w:val="28"/>
        </w:rPr>
        <w:sectPr>
          <w:headerReference r:id="rId3" w:type="default"/>
          <w:footerReference r:id="rId4" w:type="default"/>
          <w:pgSz w:w="11906" w:h="16838"/>
          <w:pgMar w:top="1417" w:right="1800" w:bottom="1247" w:left="1474" w:header="851" w:footer="992" w:gutter="0"/>
          <w:pgNumType w:fmt="numberInDash"/>
          <w:cols w:space="720" w:num="1"/>
          <w:docGrid w:type="lines" w:linePitch="312" w:charSpace="0"/>
        </w:sectPr>
      </w:pPr>
    </w:p>
    <w:p w14:paraId="524B9FF5">
      <w:pPr>
        <w:pStyle w:val="20"/>
        <w:numPr>
          <w:ilvl w:val="1"/>
          <w:numId w:val="1"/>
        </w:numPr>
        <w:spacing w:line="480" w:lineRule="exact"/>
        <w:ind w:left="12" w:leftChars="0" w:firstLine="588" w:firstLineChars="0"/>
        <w:rPr>
          <w:rFonts w:hint="eastAsia" w:ascii="仿宋" w:hAnsi="仿宋" w:eastAsia="仿宋" w:cs="仿宋"/>
          <w:sz w:val="28"/>
          <w:szCs w:val="28"/>
        </w:rPr>
      </w:pPr>
      <w:r>
        <w:rPr>
          <w:rFonts w:hint="eastAsia" w:ascii="仿宋" w:hAnsi="仿宋" w:eastAsia="仿宋" w:cs="仿宋"/>
          <w:sz w:val="28"/>
          <w:szCs w:val="28"/>
        </w:rPr>
        <w:t>乙方对本协议的任何变更、修改，均应以书面形式提出并应征得甲方的书面同意。</w:t>
      </w:r>
    </w:p>
    <w:p w14:paraId="308392A1">
      <w:pPr>
        <w:pStyle w:val="20"/>
        <w:numPr>
          <w:ilvl w:val="1"/>
          <w:numId w:val="1"/>
        </w:numPr>
        <w:spacing w:line="480" w:lineRule="exact"/>
        <w:ind w:left="12" w:leftChars="0" w:firstLine="588"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乙方须制订项目管理人员组织架构，明确项目管理人员配置要求。</w:t>
      </w:r>
    </w:p>
    <w:p w14:paraId="5F634AB1">
      <w:pPr>
        <w:pStyle w:val="20"/>
        <w:numPr>
          <w:ilvl w:val="1"/>
          <w:numId w:val="1"/>
        </w:numPr>
        <w:spacing w:line="480" w:lineRule="exact"/>
        <w:ind w:left="12" w:leftChars="0" w:firstLine="588" w:firstLineChars="0"/>
        <w:rPr>
          <w:rFonts w:hint="eastAsia" w:ascii="仿宋" w:hAnsi="仿宋" w:eastAsia="仿宋" w:cs="仿宋"/>
          <w:sz w:val="28"/>
          <w:szCs w:val="28"/>
        </w:rPr>
      </w:pPr>
      <w:r>
        <w:rPr>
          <w:rFonts w:hint="eastAsia" w:ascii="仿宋" w:hAnsi="仿宋" w:eastAsia="仿宋" w:cs="仿宋"/>
          <w:sz w:val="28"/>
          <w:szCs w:val="28"/>
        </w:rPr>
        <w:t>乙方进入甲方现场施工，必须遵守甲方各项规章制度，服从甲方施工管理。如：《项目管理制度》、《安全管理制度》等。本协议只在本次订货事宜中有效。</w:t>
      </w:r>
    </w:p>
    <w:p w14:paraId="57B87CD3">
      <w:pPr>
        <w:spacing w:line="600" w:lineRule="exact"/>
        <w:rPr>
          <w:rFonts w:hint="eastAsia"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b/>
          <w:sz w:val="28"/>
          <w:szCs w:val="28"/>
          <w:lang w:eastAsia="zh-CN"/>
        </w:rPr>
        <w:t>工程施工</w:t>
      </w:r>
      <w:r>
        <w:rPr>
          <w:rFonts w:hint="eastAsia" w:ascii="仿宋" w:hAnsi="仿宋" w:eastAsia="仿宋" w:cs="仿宋"/>
          <w:b/>
          <w:sz w:val="28"/>
          <w:szCs w:val="28"/>
        </w:rPr>
        <w:t>范围：</w:t>
      </w:r>
    </w:p>
    <w:p w14:paraId="27F9B0EF">
      <w:pPr>
        <w:pStyle w:val="23"/>
        <w:spacing w:line="600" w:lineRule="exact"/>
        <w:ind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工程名称：</w:t>
      </w:r>
      <w:r>
        <w:rPr>
          <w:rFonts w:hint="eastAsia" w:ascii="仿宋" w:hAnsi="仿宋" w:eastAsia="仿宋" w:cs="仿宋"/>
          <w:sz w:val="28"/>
          <w:szCs w:val="28"/>
          <w:lang w:eastAsia="zh-CN"/>
        </w:rPr>
        <w:t>潍坊特钢集团有限公司路面</w:t>
      </w:r>
      <w:r>
        <w:rPr>
          <w:rFonts w:hint="eastAsia" w:ascii="仿宋" w:hAnsi="仿宋" w:eastAsia="仿宋" w:cs="仿宋"/>
          <w:sz w:val="28"/>
          <w:szCs w:val="28"/>
          <w:lang w:val="en-US" w:eastAsia="zh-CN"/>
        </w:rPr>
        <w:t>挖补维修</w:t>
      </w:r>
      <w:r>
        <w:rPr>
          <w:rFonts w:hint="eastAsia" w:ascii="仿宋" w:hAnsi="仿宋" w:eastAsia="仿宋" w:cs="仿宋"/>
          <w:sz w:val="28"/>
          <w:szCs w:val="28"/>
        </w:rPr>
        <w:t>工程。</w:t>
      </w:r>
    </w:p>
    <w:p w14:paraId="5F1DD889">
      <w:pPr>
        <w:pStyle w:val="20"/>
        <w:numPr>
          <w:ilvl w:val="0"/>
          <w:numId w:val="0"/>
        </w:numPr>
        <w:spacing w:line="480" w:lineRule="exact"/>
        <w:rPr>
          <w:rFonts w:hint="eastAsia" w:ascii="仿宋" w:hAnsi="仿宋" w:eastAsia="仿宋" w:cs="仿宋"/>
          <w:b/>
          <w:sz w:val="28"/>
          <w:szCs w:val="28"/>
          <w:lang w:val="en-US"/>
        </w:rPr>
      </w:pPr>
      <w:r>
        <w:rPr>
          <w:rFonts w:hint="eastAsia" w:ascii="仿宋" w:hAnsi="仿宋" w:eastAsia="仿宋" w:cs="仿宋"/>
          <w:sz w:val="28"/>
          <w:szCs w:val="28"/>
          <w:lang w:val="en-US" w:eastAsia="zh-CN"/>
        </w:rPr>
        <w:t>2、名称、规格型号、数量、主要配置</w:t>
      </w:r>
    </w:p>
    <w:tbl>
      <w:tblPr>
        <w:tblStyle w:val="13"/>
        <w:tblW w:w="9675"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9"/>
        <w:gridCol w:w="2070"/>
        <w:gridCol w:w="994"/>
        <w:gridCol w:w="825"/>
        <w:gridCol w:w="3987"/>
      </w:tblGrid>
      <w:tr w14:paraId="3B20E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799" w:type="dxa"/>
            <w:tcBorders>
              <w:right w:val="single" w:color="auto" w:sz="4" w:space="0"/>
            </w:tcBorders>
            <w:vAlign w:val="center"/>
          </w:tcPr>
          <w:p w14:paraId="0C1A8AD9">
            <w:pPr>
              <w:pStyle w:val="23"/>
              <w:spacing w:line="420" w:lineRule="exact"/>
              <w:ind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名称</w:t>
            </w:r>
          </w:p>
        </w:tc>
        <w:tc>
          <w:tcPr>
            <w:tcW w:w="2070" w:type="dxa"/>
            <w:tcBorders>
              <w:left w:val="single" w:color="auto" w:sz="4" w:space="0"/>
              <w:right w:val="single" w:color="auto" w:sz="4" w:space="0"/>
            </w:tcBorders>
            <w:vAlign w:val="center"/>
          </w:tcPr>
          <w:p w14:paraId="418E0408">
            <w:pPr>
              <w:pStyle w:val="23"/>
              <w:spacing w:line="420" w:lineRule="exact"/>
              <w:ind w:firstLine="0" w:firstLineChar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规格型号</w:t>
            </w:r>
          </w:p>
        </w:tc>
        <w:tc>
          <w:tcPr>
            <w:tcW w:w="994" w:type="dxa"/>
            <w:tcBorders>
              <w:left w:val="single" w:color="auto" w:sz="4" w:space="0"/>
              <w:right w:val="single" w:color="auto" w:sz="4" w:space="0"/>
            </w:tcBorders>
            <w:vAlign w:val="center"/>
          </w:tcPr>
          <w:p w14:paraId="4A4D50AB">
            <w:pPr>
              <w:pStyle w:val="23"/>
              <w:spacing w:line="420" w:lineRule="exact"/>
              <w:ind w:firstLine="0" w:firstLineChar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数量</w:t>
            </w:r>
          </w:p>
        </w:tc>
        <w:tc>
          <w:tcPr>
            <w:tcW w:w="825" w:type="dxa"/>
            <w:tcBorders>
              <w:left w:val="single" w:color="auto" w:sz="4" w:space="0"/>
            </w:tcBorders>
            <w:vAlign w:val="center"/>
          </w:tcPr>
          <w:p w14:paraId="437C76CD">
            <w:pPr>
              <w:pStyle w:val="23"/>
              <w:spacing w:line="420" w:lineRule="exact"/>
              <w:ind w:firstLine="0" w:firstLineChars="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单位</w:t>
            </w:r>
          </w:p>
        </w:tc>
        <w:tc>
          <w:tcPr>
            <w:tcW w:w="3987" w:type="dxa"/>
            <w:tcBorders>
              <w:left w:val="single" w:color="auto" w:sz="4" w:space="0"/>
            </w:tcBorders>
            <w:vAlign w:val="center"/>
          </w:tcPr>
          <w:p w14:paraId="5513C238">
            <w:pPr>
              <w:pStyle w:val="23"/>
              <w:spacing w:line="420" w:lineRule="exact"/>
              <w:ind w:firstLine="0" w:firstLineChar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主要配置说明</w:t>
            </w:r>
          </w:p>
        </w:tc>
      </w:tr>
      <w:tr w14:paraId="15CAF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99" w:type="dxa"/>
            <w:tcBorders>
              <w:right w:val="single" w:color="auto" w:sz="4" w:space="0"/>
            </w:tcBorders>
            <w:vAlign w:val="center"/>
          </w:tcPr>
          <w:p w14:paraId="5E1CA225">
            <w:pPr>
              <w:pStyle w:val="23"/>
              <w:spacing w:line="420" w:lineRule="exact"/>
              <w:ind w:firstLine="0" w:firstLineChars="0"/>
              <w:jc w:val="both"/>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路面刨铣</w:t>
            </w:r>
          </w:p>
        </w:tc>
        <w:tc>
          <w:tcPr>
            <w:tcW w:w="2070" w:type="dxa"/>
            <w:tcBorders>
              <w:left w:val="single" w:color="auto" w:sz="4" w:space="0"/>
              <w:right w:val="single" w:color="auto" w:sz="4" w:space="0"/>
            </w:tcBorders>
            <w:vAlign w:val="center"/>
          </w:tcPr>
          <w:p w14:paraId="11D98EA4">
            <w:pPr>
              <w:pStyle w:val="23"/>
              <w:spacing w:line="420" w:lineRule="exact"/>
              <w:ind w:firstLine="0" w:firstLineChars="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结合现场</w:t>
            </w:r>
          </w:p>
        </w:tc>
        <w:tc>
          <w:tcPr>
            <w:tcW w:w="994" w:type="dxa"/>
            <w:tcBorders>
              <w:left w:val="single" w:color="auto" w:sz="4" w:space="0"/>
              <w:right w:val="single" w:color="auto" w:sz="4" w:space="0"/>
            </w:tcBorders>
            <w:vAlign w:val="center"/>
          </w:tcPr>
          <w:p w14:paraId="05F94966">
            <w:pPr>
              <w:pStyle w:val="23"/>
              <w:spacing w:line="420" w:lineRule="exact"/>
              <w:ind w:firstLine="0" w:firstLineChars="0"/>
              <w:jc w:val="both"/>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800</w:t>
            </w:r>
          </w:p>
        </w:tc>
        <w:tc>
          <w:tcPr>
            <w:tcW w:w="825" w:type="dxa"/>
            <w:tcBorders>
              <w:left w:val="single" w:color="auto" w:sz="4" w:space="0"/>
            </w:tcBorders>
            <w:vAlign w:val="center"/>
          </w:tcPr>
          <w:p w14:paraId="771D67C7">
            <w:pPr>
              <w:pStyle w:val="23"/>
              <w:spacing w:line="420" w:lineRule="exact"/>
              <w:ind w:firstLine="0" w:firstLineChars="0"/>
              <w:jc w:val="both"/>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w:t>
            </w:r>
          </w:p>
        </w:tc>
        <w:tc>
          <w:tcPr>
            <w:tcW w:w="3987" w:type="dxa"/>
            <w:tcBorders>
              <w:left w:val="single" w:color="auto" w:sz="4" w:space="0"/>
            </w:tcBorders>
            <w:vAlign w:val="center"/>
          </w:tcPr>
          <w:p w14:paraId="169FDF01">
            <w:pPr>
              <w:pStyle w:val="23"/>
              <w:spacing w:line="420" w:lineRule="exact"/>
              <w:ind w:firstLine="0" w:firstLineChars="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对混凝土路面及原沥青路面进行刨铣，包含垃圾清运；</w:t>
            </w:r>
          </w:p>
        </w:tc>
      </w:tr>
      <w:tr w14:paraId="493A7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99" w:type="dxa"/>
            <w:tcBorders>
              <w:right w:val="single" w:color="auto" w:sz="4" w:space="0"/>
            </w:tcBorders>
            <w:vAlign w:val="center"/>
          </w:tcPr>
          <w:p w14:paraId="53D279DE">
            <w:pPr>
              <w:pStyle w:val="23"/>
              <w:spacing w:line="420" w:lineRule="exact"/>
              <w:ind w:firstLine="0" w:firstLineChars="0"/>
              <w:jc w:val="both"/>
              <w:rPr>
                <w:rFonts w:hint="eastAsia" w:ascii="仿宋" w:hAnsi="仿宋" w:eastAsia="仿宋" w:cs="仿宋"/>
                <w:color w:val="000000"/>
                <w:sz w:val="28"/>
                <w:szCs w:val="28"/>
                <w:lang w:val="en-US" w:eastAsia="zh-CN"/>
              </w:rPr>
            </w:pPr>
            <w:r>
              <w:rPr>
                <w:rFonts w:hint="eastAsia" w:ascii="仿宋" w:hAnsi="仿宋" w:eastAsia="仿宋" w:cs="仿宋"/>
                <w:sz w:val="28"/>
                <w:szCs w:val="28"/>
                <w:lang w:eastAsia="zh-CN"/>
              </w:rPr>
              <w:t>热沥青</w:t>
            </w:r>
            <w:r>
              <w:rPr>
                <w:rFonts w:hint="eastAsia" w:ascii="仿宋" w:hAnsi="仿宋" w:eastAsia="仿宋" w:cs="仿宋"/>
                <w:sz w:val="28"/>
                <w:szCs w:val="28"/>
                <w:lang w:val="en-US" w:eastAsia="zh-CN"/>
              </w:rPr>
              <w:t>灌缝</w:t>
            </w:r>
          </w:p>
        </w:tc>
        <w:tc>
          <w:tcPr>
            <w:tcW w:w="2070" w:type="dxa"/>
            <w:tcBorders>
              <w:left w:val="single" w:color="auto" w:sz="4" w:space="0"/>
              <w:right w:val="single" w:color="auto" w:sz="4" w:space="0"/>
            </w:tcBorders>
            <w:vAlign w:val="center"/>
          </w:tcPr>
          <w:p w14:paraId="3C88D7CE">
            <w:pPr>
              <w:pStyle w:val="23"/>
              <w:spacing w:line="420" w:lineRule="exact"/>
              <w:ind w:firstLine="0" w:firstLineChar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宽度结合现场</w:t>
            </w:r>
          </w:p>
        </w:tc>
        <w:tc>
          <w:tcPr>
            <w:tcW w:w="994" w:type="dxa"/>
            <w:tcBorders>
              <w:left w:val="single" w:color="auto" w:sz="4" w:space="0"/>
              <w:right w:val="single" w:color="auto" w:sz="4" w:space="0"/>
            </w:tcBorders>
            <w:vAlign w:val="center"/>
          </w:tcPr>
          <w:p w14:paraId="1FF815E3">
            <w:pPr>
              <w:pStyle w:val="23"/>
              <w:spacing w:line="420" w:lineRule="exact"/>
              <w:ind w:firstLine="0" w:firstLineChars="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50000</w:t>
            </w:r>
          </w:p>
        </w:tc>
        <w:tc>
          <w:tcPr>
            <w:tcW w:w="825" w:type="dxa"/>
            <w:tcBorders>
              <w:left w:val="single" w:color="auto" w:sz="4" w:space="0"/>
            </w:tcBorders>
            <w:vAlign w:val="center"/>
          </w:tcPr>
          <w:p w14:paraId="57D03738">
            <w:pPr>
              <w:pStyle w:val="23"/>
              <w:spacing w:line="420" w:lineRule="exact"/>
              <w:ind w:firstLine="0" w:firstLineChars="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米</w:t>
            </w:r>
          </w:p>
        </w:tc>
        <w:tc>
          <w:tcPr>
            <w:tcW w:w="3987" w:type="dxa"/>
            <w:tcBorders>
              <w:left w:val="single" w:color="auto" w:sz="4" w:space="0"/>
            </w:tcBorders>
            <w:vAlign w:val="center"/>
          </w:tcPr>
          <w:p w14:paraId="37DD674C">
            <w:pPr>
              <w:pStyle w:val="23"/>
              <w:spacing w:line="420" w:lineRule="exact"/>
              <w:ind w:firstLine="0" w:firstLineChar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清理（对不牢固破损混凝土也要清理）、吹扫、浇灌沥青或沥青胶；深度不低于5cm</w:t>
            </w:r>
          </w:p>
        </w:tc>
      </w:tr>
      <w:tr w14:paraId="166EB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99" w:type="dxa"/>
            <w:tcBorders>
              <w:right w:val="single" w:color="auto" w:sz="4" w:space="0"/>
            </w:tcBorders>
            <w:vAlign w:val="center"/>
          </w:tcPr>
          <w:p w14:paraId="619BDE24">
            <w:pPr>
              <w:pStyle w:val="23"/>
              <w:spacing w:line="420" w:lineRule="exact"/>
              <w:ind w:firstLine="0" w:firstLineChars="0"/>
              <w:jc w:val="both"/>
              <w:rPr>
                <w:rFonts w:hint="default"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改性沥青混凝土路面挖补</w:t>
            </w:r>
          </w:p>
        </w:tc>
        <w:tc>
          <w:tcPr>
            <w:tcW w:w="2070" w:type="dxa"/>
            <w:tcBorders>
              <w:left w:val="single" w:color="auto" w:sz="4" w:space="0"/>
              <w:right w:val="single" w:color="auto" w:sz="4" w:space="0"/>
            </w:tcBorders>
            <w:vAlign w:val="center"/>
          </w:tcPr>
          <w:p w14:paraId="32BBD84C">
            <w:pPr>
              <w:pStyle w:val="23"/>
              <w:spacing w:line="420" w:lineRule="exact"/>
              <w:ind w:firstLine="0" w:firstLineChar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厚度4-6cm</w:t>
            </w:r>
          </w:p>
        </w:tc>
        <w:tc>
          <w:tcPr>
            <w:tcW w:w="994" w:type="dxa"/>
            <w:tcBorders>
              <w:left w:val="single" w:color="auto" w:sz="4" w:space="0"/>
              <w:right w:val="single" w:color="auto" w:sz="4" w:space="0"/>
            </w:tcBorders>
            <w:vAlign w:val="center"/>
          </w:tcPr>
          <w:p w14:paraId="0841803F">
            <w:pPr>
              <w:pStyle w:val="23"/>
              <w:spacing w:line="420" w:lineRule="exact"/>
              <w:ind w:firstLine="0" w:firstLineChars="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800</w:t>
            </w:r>
          </w:p>
        </w:tc>
        <w:tc>
          <w:tcPr>
            <w:tcW w:w="825" w:type="dxa"/>
            <w:tcBorders>
              <w:left w:val="single" w:color="auto" w:sz="4" w:space="0"/>
            </w:tcBorders>
            <w:vAlign w:val="center"/>
          </w:tcPr>
          <w:p w14:paraId="3F3F89CA">
            <w:pPr>
              <w:pStyle w:val="23"/>
              <w:spacing w:line="420" w:lineRule="exact"/>
              <w:ind w:firstLine="0" w:firstLineChars="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3987" w:type="dxa"/>
            <w:tcBorders>
              <w:left w:val="single" w:color="auto" w:sz="4" w:space="0"/>
            </w:tcBorders>
            <w:vAlign w:val="center"/>
          </w:tcPr>
          <w:p w14:paraId="543AF70C">
            <w:pPr>
              <w:pStyle w:val="23"/>
              <w:spacing w:line="420" w:lineRule="exact"/>
              <w:ind w:firstLine="0" w:firstLineChars="0"/>
              <w:jc w:val="center"/>
              <w:rPr>
                <w:rFonts w:hint="default" w:ascii="仿宋" w:hAnsi="仿宋" w:eastAsia="仿宋" w:cs="仿宋"/>
                <w:color w:val="000000"/>
                <w:sz w:val="28"/>
                <w:szCs w:val="28"/>
                <w:lang w:val="en-US" w:eastAsia="zh-CN"/>
              </w:rPr>
            </w:pPr>
            <w:r>
              <w:rPr>
                <w:rFonts w:hint="eastAsia" w:ascii="仿宋" w:hAnsi="仿宋" w:eastAsia="仿宋" w:cs="仿宋"/>
                <w:kern w:val="2"/>
                <w:sz w:val="28"/>
                <w:szCs w:val="28"/>
                <w:lang w:val="en-US" w:eastAsia="zh-CN" w:bidi="ar-SA"/>
              </w:rPr>
              <w:t>清扫、底油、铺设沥青、压实、养护；施工需要超出6</w:t>
            </w:r>
            <w:r>
              <w:rPr>
                <w:rFonts w:hint="eastAsia" w:ascii="仿宋" w:hAnsi="仿宋" w:eastAsia="仿宋" w:cs="仿宋"/>
                <w:color w:val="000000"/>
                <w:sz w:val="28"/>
                <w:szCs w:val="28"/>
                <w:lang w:val="en-US" w:eastAsia="zh-CN"/>
              </w:rPr>
              <w:t>cm</w:t>
            </w:r>
            <w:r>
              <w:rPr>
                <w:rFonts w:hint="eastAsia" w:ascii="仿宋" w:hAnsi="仿宋" w:eastAsia="仿宋" w:cs="仿宋"/>
                <w:kern w:val="2"/>
                <w:sz w:val="28"/>
                <w:szCs w:val="28"/>
                <w:lang w:val="en-US" w:eastAsia="zh-CN" w:bidi="ar-SA"/>
              </w:rPr>
              <w:t>时分多层铺设，实际折算面积；</w:t>
            </w:r>
          </w:p>
        </w:tc>
      </w:tr>
      <w:tr w14:paraId="161F2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99" w:type="dxa"/>
            <w:tcBorders>
              <w:right w:val="single" w:color="auto" w:sz="4" w:space="0"/>
            </w:tcBorders>
            <w:vAlign w:val="center"/>
          </w:tcPr>
          <w:p w14:paraId="3E09698E">
            <w:pPr>
              <w:pStyle w:val="23"/>
              <w:spacing w:line="420" w:lineRule="exact"/>
              <w:ind w:firstLine="0" w:firstLineChars="0"/>
              <w:jc w:val="both"/>
              <w:rPr>
                <w:rFonts w:hint="default" w:ascii="仿宋" w:hAnsi="仿宋" w:eastAsia="仿宋" w:cs="仿宋"/>
                <w:sz w:val="28"/>
                <w:szCs w:val="28"/>
                <w:lang w:val="en-US" w:eastAsia="zh-CN"/>
              </w:rPr>
            </w:pPr>
            <w:r>
              <w:rPr>
                <w:rFonts w:hint="eastAsia" w:ascii="仿宋" w:hAnsi="仿宋" w:eastAsia="仿宋" w:cs="仿宋"/>
                <w:color w:val="auto"/>
                <w:sz w:val="28"/>
                <w:szCs w:val="28"/>
                <w:lang w:val="en-US" w:eastAsia="zh-CN"/>
              </w:rPr>
              <w:t>常温油漆喷涂道路标线</w:t>
            </w:r>
          </w:p>
        </w:tc>
        <w:tc>
          <w:tcPr>
            <w:tcW w:w="2070" w:type="dxa"/>
            <w:tcBorders>
              <w:left w:val="single" w:color="auto" w:sz="4" w:space="0"/>
              <w:right w:val="single" w:color="auto" w:sz="4" w:space="0"/>
            </w:tcBorders>
            <w:vAlign w:val="center"/>
          </w:tcPr>
          <w:p w14:paraId="0B94FC69">
            <w:pPr>
              <w:pStyle w:val="23"/>
              <w:spacing w:line="420" w:lineRule="exact"/>
              <w:ind w:firstLine="0" w:firstLine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宽度15cm</w:t>
            </w:r>
          </w:p>
        </w:tc>
        <w:tc>
          <w:tcPr>
            <w:tcW w:w="994" w:type="dxa"/>
            <w:tcBorders>
              <w:left w:val="single" w:color="auto" w:sz="4" w:space="0"/>
              <w:right w:val="single" w:color="auto" w:sz="4" w:space="0"/>
            </w:tcBorders>
            <w:vAlign w:val="center"/>
          </w:tcPr>
          <w:p w14:paraId="034ED0E3">
            <w:pPr>
              <w:pStyle w:val="23"/>
              <w:spacing w:line="420" w:lineRule="exact"/>
              <w:ind w:firstLine="0" w:firstLine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10000</w:t>
            </w:r>
          </w:p>
        </w:tc>
        <w:tc>
          <w:tcPr>
            <w:tcW w:w="825" w:type="dxa"/>
            <w:tcBorders>
              <w:left w:val="single" w:color="auto" w:sz="4" w:space="0"/>
            </w:tcBorders>
            <w:vAlign w:val="center"/>
          </w:tcPr>
          <w:p w14:paraId="073F791F">
            <w:pPr>
              <w:pStyle w:val="23"/>
              <w:spacing w:line="420" w:lineRule="exact"/>
              <w:ind w:firstLine="0" w:firstLine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m</w:t>
            </w:r>
          </w:p>
        </w:tc>
        <w:tc>
          <w:tcPr>
            <w:tcW w:w="3987" w:type="dxa"/>
            <w:tcBorders>
              <w:left w:val="single" w:color="auto" w:sz="4" w:space="0"/>
            </w:tcBorders>
            <w:vAlign w:val="center"/>
          </w:tcPr>
          <w:p w14:paraId="17A74F7F">
            <w:pPr>
              <w:pStyle w:val="23"/>
              <w:spacing w:line="42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道路中间要求为双实线，道路两边分别为单虚线，人行横道处喷涂白色实线，</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实际喷涂米数计算(虚线间隔不扣除）</w:t>
            </w:r>
          </w:p>
        </w:tc>
      </w:tr>
      <w:tr w14:paraId="3909D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99" w:type="dxa"/>
            <w:tcBorders>
              <w:right w:val="single" w:color="auto" w:sz="4" w:space="0"/>
            </w:tcBorders>
            <w:vAlign w:val="center"/>
          </w:tcPr>
          <w:p w14:paraId="30AACE64">
            <w:pPr>
              <w:pStyle w:val="23"/>
              <w:spacing w:line="420" w:lineRule="exact"/>
              <w:ind w:firstLine="0" w:firstLineChars="0"/>
              <w:jc w:val="both"/>
              <w:rPr>
                <w:rFonts w:hint="default" w:ascii="仿宋" w:hAnsi="仿宋" w:eastAsia="仿宋" w:cs="仿宋"/>
                <w:sz w:val="28"/>
                <w:szCs w:val="28"/>
                <w:lang w:val="en-US" w:eastAsia="zh-CN"/>
              </w:rPr>
            </w:pPr>
            <w:r>
              <w:rPr>
                <w:rFonts w:hint="eastAsia" w:ascii="仿宋" w:hAnsi="仿宋" w:eastAsia="仿宋" w:cs="仿宋"/>
                <w:color w:val="auto"/>
                <w:sz w:val="28"/>
                <w:szCs w:val="28"/>
                <w:lang w:val="en-US" w:eastAsia="zh-CN"/>
              </w:rPr>
              <w:t>热熔型道路标线</w:t>
            </w:r>
          </w:p>
        </w:tc>
        <w:tc>
          <w:tcPr>
            <w:tcW w:w="2070" w:type="dxa"/>
            <w:tcBorders>
              <w:left w:val="single" w:color="auto" w:sz="4" w:space="0"/>
              <w:right w:val="single" w:color="auto" w:sz="4" w:space="0"/>
            </w:tcBorders>
            <w:vAlign w:val="center"/>
          </w:tcPr>
          <w:p w14:paraId="234CBEB4">
            <w:pPr>
              <w:pStyle w:val="23"/>
              <w:spacing w:line="420" w:lineRule="exact"/>
              <w:ind w:firstLine="0" w:firstLine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宽度15cm、厚度18cm</w:t>
            </w:r>
          </w:p>
        </w:tc>
        <w:tc>
          <w:tcPr>
            <w:tcW w:w="994" w:type="dxa"/>
            <w:tcBorders>
              <w:left w:val="single" w:color="auto" w:sz="4" w:space="0"/>
              <w:right w:val="single" w:color="auto" w:sz="4" w:space="0"/>
            </w:tcBorders>
            <w:vAlign w:val="center"/>
          </w:tcPr>
          <w:p w14:paraId="048CD37A">
            <w:pPr>
              <w:pStyle w:val="23"/>
              <w:spacing w:line="420" w:lineRule="exact"/>
              <w:ind w:firstLine="0" w:firstLine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5000</w:t>
            </w:r>
          </w:p>
        </w:tc>
        <w:tc>
          <w:tcPr>
            <w:tcW w:w="825" w:type="dxa"/>
            <w:tcBorders>
              <w:left w:val="single" w:color="auto" w:sz="4" w:space="0"/>
            </w:tcBorders>
            <w:vAlign w:val="center"/>
          </w:tcPr>
          <w:p w14:paraId="0C116910">
            <w:pPr>
              <w:pStyle w:val="23"/>
              <w:spacing w:line="420" w:lineRule="exact"/>
              <w:ind w:firstLine="0" w:firstLine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m</w:t>
            </w:r>
          </w:p>
        </w:tc>
        <w:tc>
          <w:tcPr>
            <w:tcW w:w="3987" w:type="dxa"/>
            <w:tcBorders>
              <w:left w:val="single" w:color="auto" w:sz="4" w:space="0"/>
            </w:tcBorders>
            <w:vAlign w:val="center"/>
          </w:tcPr>
          <w:p w14:paraId="116A230C">
            <w:pPr>
              <w:pStyle w:val="23"/>
              <w:spacing w:line="42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道路中间要求为双实线，道路两边分别为单虚线，人行横道处喷涂白色实线，</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实际喷涂米数计算(虚线间隔不扣除）</w:t>
            </w:r>
          </w:p>
        </w:tc>
      </w:tr>
    </w:tbl>
    <w:p w14:paraId="35500949">
      <w:pPr>
        <w:pStyle w:val="23"/>
        <w:spacing w:line="600" w:lineRule="exact"/>
        <w:ind w:firstLine="0" w:firstLineChars="0"/>
        <w:rPr>
          <w:rFonts w:hint="eastAsia" w:ascii="仿宋" w:hAnsi="仿宋" w:eastAsia="仿宋" w:cs="仿宋"/>
          <w:sz w:val="28"/>
          <w:szCs w:val="28"/>
        </w:rPr>
      </w:pPr>
      <w:r>
        <w:rPr>
          <w:rFonts w:hint="eastAsia" w:ascii="仿宋" w:hAnsi="仿宋" w:eastAsia="仿宋" w:cs="仿宋"/>
          <w:sz w:val="28"/>
          <w:szCs w:val="28"/>
        </w:rPr>
        <w:t>3.施工说明：</w:t>
      </w:r>
    </w:p>
    <w:p w14:paraId="164D328F">
      <w:pPr>
        <w:pStyle w:val="23"/>
        <w:spacing w:line="600" w:lineRule="exact"/>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eastAsia="zh-CN"/>
        </w:rPr>
        <w:t>乙方负责挖补维修从放线、</w:t>
      </w:r>
      <w:r>
        <w:rPr>
          <w:rFonts w:hint="eastAsia" w:ascii="仿宋" w:hAnsi="仿宋" w:eastAsia="仿宋" w:cs="仿宋"/>
          <w:sz w:val="28"/>
          <w:szCs w:val="28"/>
          <w:lang w:val="en-US" w:eastAsia="zh-CN"/>
        </w:rPr>
        <w:t>优化施工、施工、</w:t>
      </w:r>
      <w:r>
        <w:rPr>
          <w:rFonts w:hint="eastAsia" w:ascii="仿宋" w:hAnsi="仿宋" w:eastAsia="仿宋" w:cs="仿宋"/>
          <w:sz w:val="28"/>
          <w:szCs w:val="28"/>
          <w:lang w:eastAsia="zh-CN"/>
        </w:rPr>
        <w:t>养护交付全部施工及根据实际工况二次优化</w:t>
      </w:r>
      <w:r>
        <w:rPr>
          <w:rFonts w:hint="eastAsia" w:ascii="仿宋" w:hAnsi="仿宋" w:eastAsia="仿宋" w:cs="仿宋"/>
          <w:sz w:val="28"/>
          <w:szCs w:val="28"/>
          <w:lang w:val="en-US" w:eastAsia="zh-CN"/>
        </w:rPr>
        <w:t>合适排水坡度、方式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施工包含</w:t>
      </w:r>
      <w:r>
        <w:rPr>
          <w:rFonts w:hint="eastAsia" w:ascii="仿宋" w:hAnsi="仿宋" w:eastAsia="仿宋" w:cs="仿宋"/>
          <w:sz w:val="28"/>
          <w:szCs w:val="28"/>
          <w:lang w:eastAsia="zh-CN"/>
        </w:rPr>
        <w:t>原道路检查井、落水口恢复施工；材料</w:t>
      </w:r>
      <w:r>
        <w:rPr>
          <w:rFonts w:hint="eastAsia" w:ascii="仿宋" w:hAnsi="仿宋" w:eastAsia="仿宋" w:cs="仿宋"/>
          <w:sz w:val="28"/>
          <w:szCs w:val="28"/>
          <w:lang w:val="en-US" w:eastAsia="zh-CN"/>
        </w:rPr>
        <w:t>甲方提供水、电，水电费由甲方负责，其余材料耗材全部由乙方提供；</w:t>
      </w:r>
      <w:r>
        <w:rPr>
          <w:rFonts w:hint="eastAsia" w:ascii="仿宋" w:hAnsi="仿宋" w:eastAsia="仿宋" w:cs="仿宋"/>
          <w:kern w:val="2"/>
          <w:sz w:val="28"/>
          <w:szCs w:val="28"/>
          <w:lang w:val="en-US" w:eastAsia="zh-CN" w:bidi="ar-SA"/>
        </w:rPr>
        <w:t>所有机械设备全部由乙方提供；</w:t>
      </w:r>
    </w:p>
    <w:p w14:paraId="718FB2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施工中实际工程量超出合同协议工程量15%及以上的，乙方需提前7天与甲方签订补充协议，否则视为乙方认可在合同协议价格基础上以降价不小于50%的价格承接超出的工程量，甲方有权以不高于合同协议价格50%的价格，与乙方结算，乙方对此无任何异议。</w:t>
      </w:r>
    </w:p>
    <w:p w14:paraId="26D526F4">
      <w:pPr>
        <w:pStyle w:val="23"/>
        <w:spacing w:line="600" w:lineRule="exact"/>
        <w:ind w:firstLine="0" w:firstLineChars="0"/>
        <w:rPr>
          <w:rFonts w:hint="eastAsia" w:ascii="仿宋" w:hAnsi="仿宋" w:eastAsia="仿宋" w:cs="仿宋"/>
          <w:sz w:val="28"/>
          <w:szCs w:val="28"/>
          <w:lang w:eastAsia="zh-CN"/>
        </w:rPr>
      </w:pPr>
      <w:r>
        <w:rPr>
          <w:rFonts w:hint="eastAsia" w:ascii="仿宋" w:hAnsi="仿宋" w:eastAsia="仿宋" w:cs="仿宋"/>
          <w:b/>
          <w:sz w:val="28"/>
          <w:szCs w:val="28"/>
        </w:rPr>
        <w:t>三．技术标准</w:t>
      </w:r>
    </w:p>
    <w:p w14:paraId="768C037E">
      <w:pPr>
        <w:spacing w:line="600" w:lineRule="exact"/>
        <w:rPr>
          <w:rFonts w:hint="eastAsia" w:ascii="仿宋" w:hAnsi="仿宋" w:eastAsia="仿宋" w:cs="仿宋"/>
          <w:bCs/>
          <w:color w:val="222222"/>
          <w:sz w:val="28"/>
          <w:szCs w:val="28"/>
          <w:shd w:val="clear" w:color="auto" w:fill="FFFFFF"/>
          <w:lang w:val="en-US"/>
        </w:rPr>
      </w:pPr>
      <w:r>
        <w:rPr>
          <w:rFonts w:hint="eastAsia" w:ascii="仿宋" w:hAnsi="仿宋" w:eastAsia="仿宋" w:cs="仿宋"/>
          <w:color w:val="222222"/>
          <w:sz w:val="28"/>
          <w:szCs w:val="28"/>
          <w:shd w:val="clear" w:color="auto" w:fill="FFFFFF"/>
        </w:rPr>
        <w:t xml:space="preserve">1. </w:t>
      </w:r>
      <w:r>
        <w:rPr>
          <w:rFonts w:hint="eastAsia" w:ascii="仿宋" w:hAnsi="仿宋" w:eastAsia="仿宋" w:cs="仿宋"/>
          <w:bCs/>
          <w:color w:val="222222"/>
          <w:sz w:val="28"/>
          <w:szCs w:val="28"/>
          <w:shd w:val="clear" w:color="auto" w:fill="FFFFFF"/>
        </w:rPr>
        <w:t>《建筑工程施工质量验收统一标准》</w:t>
      </w:r>
      <w:r>
        <w:rPr>
          <w:rFonts w:hint="eastAsia" w:ascii="仿宋" w:hAnsi="仿宋" w:eastAsia="仿宋" w:cs="仿宋"/>
          <w:b w:val="0"/>
          <w:bCs/>
          <w:color w:val="222222"/>
          <w:kern w:val="2"/>
          <w:sz w:val="28"/>
          <w:szCs w:val="28"/>
          <w:shd w:val="clear" w:color="auto" w:fill="FFFFFF"/>
          <w:lang w:val="en-US" w:eastAsia="zh-CN" w:bidi="ar-SA"/>
        </w:rPr>
        <w:t>GB50300-2021</w:t>
      </w:r>
    </w:p>
    <w:p w14:paraId="3DC98BB7">
      <w:pPr>
        <w:spacing w:line="600" w:lineRule="exact"/>
        <w:rPr>
          <w:rFonts w:hint="eastAsia" w:ascii="仿宋" w:hAnsi="仿宋" w:eastAsia="仿宋" w:cs="仿宋"/>
          <w:bCs/>
          <w:color w:val="222222"/>
          <w:sz w:val="28"/>
          <w:szCs w:val="28"/>
          <w:shd w:val="clear" w:color="auto" w:fill="FFFFFF"/>
        </w:rPr>
      </w:pPr>
      <w:r>
        <w:rPr>
          <w:rFonts w:hint="eastAsia" w:ascii="仿宋" w:hAnsi="仿宋" w:eastAsia="仿宋" w:cs="仿宋"/>
          <w:bCs/>
          <w:color w:val="222222"/>
          <w:sz w:val="28"/>
          <w:szCs w:val="28"/>
          <w:shd w:val="clear" w:color="auto" w:fill="FFFFFF"/>
          <w:lang w:val="en-US" w:eastAsia="zh-CN"/>
        </w:rPr>
        <w:t>2、《</w:t>
      </w:r>
      <w:r>
        <w:rPr>
          <w:rFonts w:hint="eastAsia" w:ascii="仿宋" w:hAnsi="仿宋" w:eastAsia="仿宋" w:cs="仿宋"/>
          <w:bCs/>
          <w:color w:val="222222"/>
          <w:sz w:val="28"/>
          <w:szCs w:val="28"/>
          <w:shd w:val="clear" w:color="auto" w:fill="FFFFFF"/>
        </w:rPr>
        <w:t>沥青路面施工及验收规范</w:t>
      </w:r>
      <w:r>
        <w:rPr>
          <w:rFonts w:hint="eastAsia" w:ascii="仿宋" w:hAnsi="仿宋" w:eastAsia="仿宋" w:cs="仿宋"/>
          <w:bCs/>
          <w:color w:val="222222"/>
          <w:sz w:val="28"/>
          <w:szCs w:val="28"/>
          <w:shd w:val="clear" w:color="auto" w:fill="FFFFFF"/>
          <w:lang w:val="en-US" w:eastAsia="zh-CN"/>
        </w:rPr>
        <w:t>》</w:t>
      </w:r>
      <w:r>
        <w:rPr>
          <w:rFonts w:hint="eastAsia" w:ascii="仿宋" w:hAnsi="仿宋" w:eastAsia="仿宋" w:cs="仿宋"/>
          <w:b w:val="0"/>
          <w:bCs/>
          <w:color w:val="222222"/>
          <w:kern w:val="2"/>
          <w:sz w:val="28"/>
          <w:szCs w:val="28"/>
          <w:shd w:val="clear" w:color="auto" w:fill="FFFFFF"/>
          <w:lang w:val="en-US" w:eastAsia="zh-CN" w:bidi="ar-SA"/>
        </w:rPr>
        <w:t>GB50092-1996</w:t>
      </w:r>
    </w:p>
    <w:p w14:paraId="11B18556">
      <w:pPr>
        <w:spacing w:line="600" w:lineRule="exact"/>
        <w:rPr>
          <w:rFonts w:hint="eastAsia" w:ascii="仿宋" w:hAnsi="仿宋" w:eastAsia="仿宋" w:cs="仿宋"/>
          <w:b w:val="0"/>
          <w:bCs/>
          <w:color w:val="222222"/>
          <w:kern w:val="2"/>
          <w:sz w:val="28"/>
          <w:szCs w:val="28"/>
          <w:shd w:val="clear" w:color="auto" w:fill="FFFFFF"/>
          <w:lang w:val="en-US" w:eastAsia="zh-CN" w:bidi="ar-SA"/>
        </w:rPr>
      </w:pPr>
      <w:r>
        <w:rPr>
          <w:rFonts w:hint="eastAsia" w:ascii="仿宋" w:hAnsi="仿宋" w:eastAsia="仿宋" w:cs="仿宋"/>
          <w:bCs/>
          <w:color w:val="222222"/>
          <w:sz w:val="28"/>
          <w:szCs w:val="28"/>
          <w:shd w:val="clear" w:color="auto" w:fill="FFFFFF"/>
          <w:lang w:val="en-US" w:eastAsia="zh-CN"/>
        </w:rPr>
        <w:t>3、《建筑地面工程施工质量验收规范》</w:t>
      </w:r>
      <w:r>
        <w:rPr>
          <w:rFonts w:hint="eastAsia" w:ascii="仿宋" w:hAnsi="仿宋" w:eastAsia="仿宋" w:cs="仿宋"/>
          <w:b w:val="0"/>
          <w:bCs/>
          <w:color w:val="222222"/>
          <w:kern w:val="2"/>
          <w:sz w:val="28"/>
          <w:szCs w:val="28"/>
          <w:shd w:val="clear" w:color="auto" w:fill="FFFFFF"/>
          <w:lang w:val="en-US" w:eastAsia="zh-CN" w:bidi="ar-SA"/>
        </w:rPr>
        <w:t>GB50209-2021</w:t>
      </w:r>
    </w:p>
    <w:p w14:paraId="1D7775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仿宋" w:hAnsi="仿宋" w:eastAsia="仿宋" w:cs="仿宋"/>
          <w:b w:val="0"/>
          <w:bCs/>
          <w:color w:val="222222"/>
          <w:kern w:val="2"/>
          <w:sz w:val="28"/>
          <w:szCs w:val="28"/>
          <w:shd w:val="clear" w:color="auto" w:fill="FFFFFF"/>
          <w:lang w:val="en-US" w:eastAsia="zh-CN" w:bidi="ar-SA"/>
        </w:rPr>
      </w:pPr>
      <w:r>
        <w:rPr>
          <w:rFonts w:hint="eastAsia" w:ascii="仿宋" w:hAnsi="仿宋" w:eastAsia="仿宋" w:cs="仿宋"/>
          <w:b w:val="0"/>
          <w:bCs/>
          <w:color w:val="222222"/>
          <w:kern w:val="2"/>
          <w:sz w:val="28"/>
          <w:szCs w:val="28"/>
          <w:shd w:val="clear" w:color="auto" w:fill="FFFFFF"/>
          <w:lang w:val="en-US" w:eastAsia="zh-CN" w:bidi="ar-SA"/>
        </w:rPr>
        <w:t>4、《城镇道路工程施工与质量验收规范》CJJ 1—2008</w:t>
      </w:r>
    </w:p>
    <w:p w14:paraId="7E16C7C4">
      <w:pPr>
        <w:spacing w:line="600" w:lineRule="exact"/>
        <w:rPr>
          <w:rFonts w:hint="eastAsia" w:ascii="仿宋" w:hAnsi="仿宋" w:eastAsia="仿宋" w:cs="仿宋"/>
          <w:b/>
          <w:sz w:val="28"/>
          <w:szCs w:val="28"/>
        </w:rPr>
      </w:pPr>
      <w:r>
        <w:rPr>
          <w:rFonts w:hint="eastAsia" w:ascii="仿宋" w:hAnsi="仿宋" w:eastAsia="仿宋" w:cs="仿宋"/>
          <w:b/>
          <w:sz w:val="28"/>
          <w:szCs w:val="28"/>
        </w:rPr>
        <w:t>四.技术要求</w:t>
      </w:r>
    </w:p>
    <w:p w14:paraId="341A39D0">
      <w:pPr>
        <w:pStyle w:val="11"/>
        <w:ind w:left="0" w:leftChars="0" w:firstLine="0" w:firstLineChars="0"/>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A、沥青混凝土路面：</w:t>
      </w:r>
    </w:p>
    <w:p w14:paraId="21EBE2C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用铣刨机对路面自动找平，对原有路面进行铣刨处理，找出顺水坡度。铣刨厚度根据老路面破损程度或高低起伏状态确定，控制在抛洗深度。铣刨完成后彻底清扫面层，对裂缝进行灌缝处理，对轻微破损处铺设土工格栅，撒布热沥青施做下封层。</w:t>
      </w:r>
    </w:p>
    <w:p w14:paraId="4F901C5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摊铺必须缓慢、均匀、连续不间断的摊铺，不得随意转换速度或中途停顿；改性沥青混合料摊铺速度控制在1-3米/分钟，返现明显离析、波浪、裂缝、拖痕，必须分析原因，及时排出，摊铺系数应通过试验段取得，无特殊情况，压实系数控制在1.04-1.06；</w:t>
      </w:r>
    </w:p>
    <w:p w14:paraId="3664F9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3、改性沥青初压开氏温度不得低于150℃，碾压成型表面温度不得低于90℃；碾压时压路机的驱动轮面向摊铺机，从路外侧向中心碾压，在坡道上为从低向高处碾压；压路机采用震动缸筒压路机；</w:t>
      </w:r>
    </w:p>
    <w:p w14:paraId="0A079188">
      <w:pPr>
        <w:pStyle w:val="11"/>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4、振动压路机遵循紧跟、慢压、高频、低幅的原则，密切注意压实变化，避免堆拥、过度碾压；</w:t>
      </w:r>
    </w:p>
    <w:p w14:paraId="14AF5D4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5、摊铺层自然温度在50℃上，严禁通车；</w:t>
      </w:r>
    </w:p>
    <w:p w14:paraId="1D7A36B1">
      <w:pP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加铺</w:t>
      </w:r>
      <w:r>
        <w:rPr>
          <w:rFonts w:hint="eastAsia" w:ascii="仿宋" w:hAnsi="仿宋" w:eastAsia="仿宋" w:cs="仿宋"/>
          <w:sz w:val="28"/>
          <w:szCs w:val="28"/>
          <w:lang w:eastAsia="zh-CN"/>
        </w:rPr>
        <w:t>改性</w:t>
      </w:r>
      <w:r>
        <w:rPr>
          <w:rFonts w:hint="eastAsia" w:ascii="仿宋" w:hAnsi="仿宋" w:eastAsia="仿宋" w:cs="仿宋"/>
          <w:sz w:val="28"/>
          <w:szCs w:val="28"/>
        </w:rPr>
        <w:t>沥青面层：洒热</w:t>
      </w:r>
      <w:r>
        <w:rPr>
          <w:rFonts w:hint="eastAsia" w:ascii="仿宋" w:hAnsi="仿宋" w:eastAsia="仿宋" w:cs="仿宋"/>
          <w:sz w:val="28"/>
          <w:szCs w:val="28"/>
          <w:lang w:eastAsia="zh-CN"/>
        </w:rPr>
        <w:t>改性</w:t>
      </w:r>
      <w:r>
        <w:rPr>
          <w:rFonts w:hint="eastAsia" w:ascii="仿宋" w:hAnsi="仿宋" w:eastAsia="仿宋" w:cs="仿宋"/>
          <w:sz w:val="28"/>
          <w:szCs w:val="28"/>
        </w:rPr>
        <w:t>沥青之前对混凝土表面处理和卫生清扫工作。清除原混凝土路面上突起的棱角，保证平整度，原路面上的路面标线进行人工清除。施工中严格避免机械设备的油料对路面的污染，出现及时处理干净。铺筑</w:t>
      </w:r>
      <w:r>
        <w:rPr>
          <w:rFonts w:hint="eastAsia" w:ascii="仿宋" w:hAnsi="仿宋" w:eastAsia="仿宋" w:cs="仿宋"/>
          <w:sz w:val="28"/>
          <w:szCs w:val="28"/>
          <w:lang w:eastAsia="zh-CN"/>
        </w:rPr>
        <w:t>改性</w:t>
      </w:r>
      <w:r>
        <w:rPr>
          <w:rFonts w:hint="eastAsia" w:ascii="仿宋" w:hAnsi="仿宋" w:eastAsia="仿宋" w:cs="仿宋"/>
          <w:sz w:val="28"/>
          <w:szCs w:val="28"/>
        </w:rPr>
        <w:t>沥青面层前在原混凝土路面上洒布粘层，洒布粘层后，让刚性路面与柔性路面有效的结合成一个整体，避免在车辆核载的作用下形成“滑动、拥包”等病害的出现。</w:t>
      </w:r>
    </w:p>
    <w:p w14:paraId="3A2D7802">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现有路面上的沥青面层铣刨、清理干净。基层松动部位挖出，填补水泥稳定碎石。</w:t>
      </w:r>
    </w:p>
    <w:p w14:paraId="5C686214">
      <w:pPr>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8、路面铣刨、铺设改性沥青必须根据厂区内排水进行找坡施工；铺设完成后路面不得出现积水现象；</w:t>
      </w:r>
    </w:p>
    <w:p w14:paraId="72EF9FD9">
      <w:pPr>
        <w:pStyle w:val="11"/>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9、沥青灌缝必须对路面裂缝、预留缝进行清理、吹扫干净，对不牢固碎混凝土、石子必须清理干净，特殊情况采用切割机切除，灌缝深度不得少于5cm；</w:t>
      </w:r>
    </w:p>
    <w:p w14:paraId="627D9CE4">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按照规范要求进行施工、验收。</w:t>
      </w:r>
    </w:p>
    <w:p w14:paraId="6D943F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B.路面标线施工要求：</w:t>
      </w:r>
    </w:p>
    <w:p w14:paraId="5F8BB3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施工工序：到达现场→安全措施→清洁路面→放样→涂底漆→涂敷→完成通行。</w:t>
      </w:r>
    </w:p>
    <w:p w14:paraId="2295B2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1、首先根据厂区道路的尺寸进行测量放样，沿线每50米设一控制点，曲线段采用加密点控制，每10米设一点，然后用粉笔作标记，作为标线的基准点。</w:t>
      </w:r>
    </w:p>
    <w:p w14:paraId="3CB5B9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2、在基准点设好后，用标线绳沿基准点摆放并固定。在保证每个基准点尺寸的情况下，使线型顺直平滑。而后划出基准线，行车道部分的虚线和实线均以此基准线为准。</w:t>
      </w:r>
    </w:p>
    <w:p w14:paraId="1D1E51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3、在基准线划定后，即可进行路面清扫工作，为保证标线施工质量，保证标线涂料和沥青路面有效结合，在标线施工前必须用铁锹、扫把清扫路面，必要时用水冲洗，使路面干净无杂物，但须待路面干透以后方可施工。 </w:t>
      </w:r>
    </w:p>
    <w:p w14:paraId="202973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4、划线机应沿基准线匀速前进，不得出现弯曲现象。冷膜冷凝后应无皱纹、斑点、气泡、裂纹、脱落及表面无发粘现象。 </w:t>
      </w:r>
    </w:p>
    <w:p w14:paraId="7EFB98F2">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5、热熔标线在水泥路面或旧的沥青路面施加标线需要先完全清除老旧标线后使用机械吹扫路面并喷涂热熔底油下涂剂，下涂剂每平方米控制在150-200g，以提高其粘结力。 </w:t>
      </w:r>
    </w:p>
    <w:p w14:paraId="3A73C1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热熔涂料在釜内加热时温度应控制在涂料生产商的使用说明书规定值180℃-230℃之间，不得超过最高限制温度。烃树脂材料保持在熔融状态的时间不大于6小时，树胶树脂类材料保持在熔融状态的时间不大于4小时。</w:t>
      </w:r>
    </w:p>
    <w:p w14:paraId="7AC4F1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7、标线使用的涂料应具有与路面粘接力强、干燥迅速以及良好的耐磨性、耐侯性、抗滑性等特性并应符合JT/T280—2004要求。</w:t>
      </w:r>
    </w:p>
    <w:p w14:paraId="697CE4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8、标线的颜色为白色、黄色、等应符合《路面标线涂料》 JT/T280-2004的要求并按甲方同意的方法施工。</w:t>
      </w:r>
    </w:p>
    <w:p w14:paraId="40643B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9、所有标线应具有线条顺直、宽度一致、 间隔相等、边缘整齐、线形规则、衔接良好厚度均匀、光洁及外观精美，干燥后应无起泡、开裂、发粘、脱落现象，否则应由乙方予以免费维修。</w:t>
      </w:r>
    </w:p>
    <w:p w14:paraId="21C351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10、喷涂施工应避开交通高峰时段进行，雨天、尘埃大、风大、温度低于10℃时应暂时停止施工。</w:t>
      </w:r>
    </w:p>
    <w:p w14:paraId="6DD7D9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11、喷涂标线时应设有交通安全措施设置警告标志及警戒绳，阻止车辆及行人在作业区内通行，防止将涂料带出或形成车辙直至标线充分干燥。</w:t>
      </w:r>
    </w:p>
    <w:p w14:paraId="0DD6AB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12、热熔型标线的使用寿命质量要求沥青路面标线厚度1.8 mm以上沥青路面12个月内标线内要无脱落、无变色等现象发生。</w:t>
      </w:r>
    </w:p>
    <w:p w14:paraId="1941B9E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
          <w:lang w:val="en-US" w:eastAsia="zh-CN"/>
        </w:rPr>
      </w:pPr>
      <w:r>
        <w:rPr>
          <w:rFonts w:hint="eastAsia" w:ascii="仿宋" w:hAnsi="仿宋" w:eastAsia="仿宋" w:cs="仿宋"/>
          <w:color w:val="auto"/>
          <w:kern w:val="2"/>
          <w:sz w:val="28"/>
          <w:szCs w:val="28"/>
          <w:lang w:val="en-US" w:eastAsia="zh-CN" w:bidi="ar-SA"/>
        </w:rPr>
        <w:t>13、提供有效的热熔涂料检测报告公安部或交通部检测中心复印件。热熔涂料所用原料的主要部分钛白粉、树脂要求使用达到国家标准的原料。</w:t>
      </w:r>
    </w:p>
    <w:p w14:paraId="3640FBF6">
      <w:pPr>
        <w:pStyle w:val="23"/>
        <w:spacing w:line="600" w:lineRule="exact"/>
        <w:ind w:firstLine="0" w:firstLineChars="0"/>
        <w:rPr>
          <w:rFonts w:hint="eastAsia" w:ascii="仿宋" w:hAnsi="仿宋" w:eastAsia="仿宋" w:cs="仿宋"/>
          <w:b/>
          <w:sz w:val="28"/>
          <w:szCs w:val="28"/>
        </w:rPr>
      </w:pPr>
      <w:r>
        <w:rPr>
          <w:rFonts w:hint="eastAsia" w:ascii="仿宋" w:hAnsi="仿宋" w:eastAsia="仿宋" w:cs="仿宋"/>
          <w:b/>
          <w:sz w:val="28"/>
          <w:szCs w:val="28"/>
        </w:rPr>
        <w:t>五.验收及考核</w:t>
      </w:r>
    </w:p>
    <w:p w14:paraId="09070D8A">
      <w:pPr>
        <w:pStyle w:val="20"/>
        <w:numPr>
          <w:ilvl w:val="1"/>
          <w:numId w:val="2"/>
        </w:numPr>
        <w:spacing w:line="480" w:lineRule="exact"/>
        <w:ind w:left="221" w:leftChars="0" w:firstLine="565" w:firstLineChars="0"/>
        <w:rPr>
          <w:rFonts w:hint="eastAsia" w:ascii="仿宋" w:hAnsi="仿宋" w:eastAsia="仿宋" w:cs="仿宋"/>
          <w:sz w:val="28"/>
          <w:szCs w:val="28"/>
        </w:rPr>
      </w:pPr>
      <w:r>
        <w:rPr>
          <w:rFonts w:hint="eastAsia" w:ascii="仿宋" w:hAnsi="仿宋" w:eastAsia="仿宋" w:cs="仿宋"/>
          <w:sz w:val="28"/>
          <w:szCs w:val="28"/>
        </w:rPr>
        <w:t>出厂前进行出厂检验，合格后方能出厂，乙方出具证明产品合格的出厂合格证及相关资料。如有必要，甲方可要求到乙方现场参与检验。甲方到乙方的检验，并不能免除乙方对货物应承担的质量责任。</w:t>
      </w:r>
    </w:p>
    <w:p w14:paraId="67E084CE">
      <w:pPr>
        <w:pStyle w:val="20"/>
        <w:numPr>
          <w:ilvl w:val="1"/>
          <w:numId w:val="2"/>
        </w:numPr>
        <w:spacing w:line="480" w:lineRule="exact"/>
        <w:ind w:left="221" w:leftChars="0" w:firstLine="565" w:firstLineChars="0"/>
        <w:rPr>
          <w:rFonts w:hint="eastAsia" w:ascii="仿宋" w:hAnsi="仿宋" w:eastAsia="仿宋" w:cs="仿宋"/>
          <w:sz w:val="28"/>
          <w:szCs w:val="28"/>
        </w:rPr>
      </w:pPr>
      <w:r>
        <w:rPr>
          <w:rFonts w:hint="eastAsia" w:ascii="仿宋" w:hAnsi="仿宋" w:eastAsia="仿宋" w:cs="仿宋"/>
          <w:sz w:val="28"/>
          <w:szCs w:val="28"/>
        </w:rPr>
        <w:t>到厂检验，必须到甲方外检科进行检验、确认，甲方根据技术协议、图纸、质量标准、样本等对到厂货物进行到厂检验。</w:t>
      </w:r>
    </w:p>
    <w:p w14:paraId="7E73ECDE">
      <w:pPr>
        <w:pStyle w:val="20"/>
        <w:numPr>
          <w:ilvl w:val="2"/>
          <w:numId w:val="2"/>
        </w:numPr>
        <w:spacing w:line="480" w:lineRule="exact"/>
        <w:ind w:left="-1" w:leftChars="0" w:firstLine="565" w:firstLineChars="0"/>
        <w:rPr>
          <w:rFonts w:hint="eastAsia" w:ascii="仿宋" w:hAnsi="仿宋" w:eastAsia="仿宋" w:cs="仿宋"/>
          <w:sz w:val="28"/>
          <w:szCs w:val="28"/>
        </w:rPr>
      </w:pPr>
      <w:r>
        <w:rPr>
          <w:rFonts w:hint="eastAsia" w:ascii="仿宋" w:hAnsi="仿宋" w:eastAsia="仿宋" w:cs="仿宋"/>
          <w:sz w:val="28"/>
          <w:szCs w:val="28"/>
        </w:rPr>
        <w:t>化学成分、硬度、浓度、尺寸、重量等指标，超过技术指标要求不增加货款；低于技术指标要求，但甲方判定能让步接受的，</w:t>
      </w:r>
      <w:r>
        <w:rPr>
          <w:rFonts w:hint="eastAsia" w:ascii="仿宋" w:hAnsi="仿宋" w:eastAsia="仿宋" w:cs="仿宋"/>
          <w:sz w:val="28"/>
          <w:szCs w:val="28"/>
          <w:highlight w:val="none"/>
        </w:rPr>
        <w:t>在货物整体价格基础上，</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按不达标项目所欠比例</w:t>
      </w:r>
      <w:r>
        <w:rPr>
          <w:rFonts w:hint="eastAsia" w:ascii="仿宋" w:hAnsi="仿宋" w:eastAsia="仿宋" w:cs="仿宋"/>
          <w:sz w:val="28"/>
          <w:szCs w:val="28"/>
          <w:highlight w:val="none"/>
          <w:lang w:eastAsia="zh-CN"/>
        </w:rPr>
        <w:t>向甲方支付违约金</w:t>
      </w:r>
      <w:r>
        <w:rPr>
          <w:rFonts w:hint="eastAsia" w:ascii="仿宋" w:hAnsi="仿宋" w:eastAsia="仿宋" w:cs="仿宋"/>
          <w:sz w:val="28"/>
          <w:szCs w:val="28"/>
        </w:rPr>
        <w:t>；如果有多项指标不达标，</w:t>
      </w:r>
      <w:r>
        <w:rPr>
          <w:rFonts w:hint="eastAsia" w:ascii="仿宋" w:hAnsi="仿宋" w:eastAsia="仿宋" w:cs="仿宋"/>
          <w:sz w:val="28"/>
          <w:szCs w:val="28"/>
          <w:lang w:eastAsia="zh-CN"/>
        </w:rPr>
        <w:t>乙方</w:t>
      </w:r>
      <w:r>
        <w:rPr>
          <w:rFonts w:hint="eastAsia" w:ascii="仿宋" w:hAnsi="仿宋" w:eastAsia="仿宋" w:cs="仿宋"/>
          <w:sz w:val="28"/>
          <w:szCs w:val="28"/>
        </w:rPr>
        <w:t>累加</w:t>
      </w:r>
      <w:r>
        <w:rPr>
          <w:rFonts w:hint="eastAsia" w:ascii="仿宋" w:hAnsi="仿宋" w:eastAsia="仿宋" w:cs="仿宋"/>
          <w:sz w:val="28"/>
          <w:szCs w:val="28"/>
          <w:highlight w:val="none"/>
          <w:lang w:eastAsia="zh-CN"/>
        </w:rPr>
        <w:t>向甲方支付违约金</w:t>
      </w:r>
      <w:r>
        <w:rPr>
          <w:rFonts w:hint="eastAsia" w:ascii="仿宋" w:hAnsi="仿宋" w:eastAsia="仿宋" w:cs="仿宋"/>
          <w:sz w:val="28"/>
          <w:szCs w:val="28"/>
        </w:rPr>
        <w:t>。</w:t>
      </w:r>
      <w:r>
        <w:rPr>
          <w:rFonts w:hint="eastAsia" w:ascii="仿宋" w:hAnsi="仿宋" w:eastAsia="仿宋" w:cs="仿宋"/>
          <w:sz w:val="28"/>
          <w:szCs w:val="28"/>
          <w:lang w:eastAsia="zh-CN"/>
        </w:rPr>
        <w:t>违约金</w:t>
      </w:r>
      <w:r>
        <w:rPr>
          <w:rFonts w:hint="eastAsia" w:ascii="仿宋" w:hAnsi="仿宋" w:eastAsia="仿宋" w:cs="仿宋"/>
          <w:sz w:val="28"/>
          <w:szCs w:val="28"/>
        </w:rPr>
        <w:t>并不能免除乙方后续应承担的售后服务、质保期等责任和义务。</w:t>
      </w:r>
    </w:p>
    <w:p w14:paraId="5A8D8A14">
      <w:pPr>
        <w:pStyle w:val="20"/>
        <w:numPr>
          <w:ilvl w:val="2"/>
          <w:numId w:val="2"/>
        </w:numPr>
        <w:spacing w:line="480" w:lineRule="exact"/>
        <w:ind w:left="-1" w:leftChars="0" w:firstLine="565" w:firstLineChars="0"/>
        <w:rPr>
          <w:rFonts w:hint="eastAsia" w:ascii="仿宋" w:hAnsi="仿宋" w:eastAsia="仿宋" w:cs="仿宋"/>
          <w:sz w:val="28"/>
          <w:szCs w:val="28"/>
        </w:rPr>
      </w:pPr>
      <w:r>
        <w:rPr>
          <w:rFonts w:hint="eastAsia" w:ascii="仿宋" w:hAnsi="仿宋" w:eastAsia="仿宋" w:cs="仿宋"/>
          <w:sz w:val="28"/>
          <w:szCs w:val="28"/>
          <w:highlight w:val="none"/>
        </w:rPr>
        <w:t>技术指标不合格，甲方判定不能让步接受的，经甲方书面同意后，可限时换货处理，</w:t>
      </w:r>
      <w:r>
        <w:rPr>
          <w:rFonts w:hint="eastAsia" w:ascii="仿宋" w:hAnsi="仿宋" w:eastAsia="仿宋" w:cs="仿宋"/>
          <w:sz w:val="28"/>
          <w:szCs w:val="28"/>
          <w:highlight w:val="none"/>
          <w:lang w:eastAsia="zh-CN"/>
        </w:rPr>
        <w:t>乙方每换货一次应按货物价值</w:t>
      </w:r>
      <w:r>
        <w:rPr>
          <w:rFonts w:hint="eastAsia" w:ascii="仿宋" w:hAnsi="仿宋" w:eastAsia="仿宋" w:cs="仿宋"/>
          <w:sz w:val="28"/>
          <w:szCs w:val="28"/>
          <w:highlight w:val="none"/>
          <w:lang w:val="en-US" w:eastAsia="zh-CN"/>
        </w:rPr>
        <w:t>1%向甲方支付违约金，因换货造成供货期或工期延误，</w:t>
      </w:r>
      <w:r>
        <w:rPr>
          <w:rFonts w:hint="eastAsia" w:ascii="仿宋_GB2312" w:hAnsi="宋体" w:eastAsia="仿宋_GB2312"/>
          <w:sz w:val="28"/>
          <w:szCs w:val="28"/>
          <w:highlight w:val="none"/>
          <w:lang w:eastAsia="zh-CN"/>
        </w:rPr>
        <w:t>乙方</w:t>
      </w:r>
      <w:r>
        <w:rPr>
          <w:rFonts w:hint="eastAsia" w:ascii="仿宋_GB2312" w:hAnsi="宋体" w:eastAsia="仿宋_GB2312"/>
          <w:sz w:val="28"/>
          <w:szCs w:val="28"/>
          <w:highlight w:val="none"/>
        </w:rPr>
        <w:t>每逾期一天</w:t>
      </w:r>
      <w:r>
        <w:rPr>
          <w:rFonts w:hint="eastAsia" w:ascii="仿宋_GB2312" w:hAnsi="宋体" w:eastAsia="仿宋_GB2312"/>
          <w:sz w:val="28"/>
          <w:szCs w:val="28"/>
          <w:highlight w:val="none"/>
          <w:lang w:eastAsia="zh-CN"/>
        </w:rPr>
        <w:t>应按</w:t>
      </w:r>
      <w:r>
        <w:rPr>
          <w:rFonts w:hint="eastAsia" w:ascii="仿宋_GB2312" w:hAnsi="宋体" w:eastAsia="仿宋_GB2312"/>
          <w:sz w:val="28"/>
          <w:szCs w:val="28"/>
          <w:highlight w:val="none"/>
        </w:rPr>
        <w:t>合同</w:t>
      </w:r>
      <w:r>
        <w:rPr>
          <w:rFonts w:hint="eastAsia" w:ascii="仿宋_GB2312" w:hAnsi="宋体" w:eastAsia="仿宋_GB2312"/>
          <w:sz w:val="28"/>
          <w:szCs w:val="28"/>
          <w:highlight w:val="none"/>
          <w:lang w:eastAsia="zh-CN"/>
        </w:rPr>
        <w:t>额</w:t>
      </w:r>
      <w:r>
        <w:rPr>
          <w:rFonts w:hint="eastAsia" w:ascii="仿宋_GB2312" w:hAnsi="宋体" w:eastAsia="仿宋_GB2312"/>
          <w:sz w:val="28"/>
          <w:szCs w:val="28"/>
          <w:highlight w:val="none"/>
        </w:rPr>
        <w:t>的1%</w:t>
      </w:r>
      <w:r>
        <w:rPr>
          <w:rFonts w:hint="eastAsia" w:ascii="仿宋_GB2312" w:hAnsi="宋体" w:eastAsia="仿宋_GB2312"/>
          <w:sz w:val="28"/>
          <w:szCs w:val="28"/>
          <w:highlight w:val="none"/>
          <w:lang w:eastAsia="zh-CN"/>
        </w:rPr>
        <w:t>向甲方支付违约金</w:t>
      </w:r>
      <w:r>
        <w:rPr>
          <w:rFonts w:hint="eastAsia" w:ascii="仿宋" w:hAnsi="仿宋" w:eastAsia="仿宋" w:cs="仿宋"/>
          <w:sz w:val="28"/>
          <w:szCs w:val="28"/>
          <w:highlight w:val="none"/>
        </w:rPr>
        <w:t>；若甲方不同意换货，</w:t>
      </w:r>
      <w:r>
        <w:rPr>
          <w:rFonts w:hint="eastAsia" w:ascii="仿宋_GB2312" w:hAnsi="宋体" w:eastAsia="仿宋_GB2312"/>
          <w:sz w:val="28"/>
          <w:szCs w:val="28"/>
          <w:highlight w:val="none"/>
        </w:rPr>
        <w:t>乙方</w:t>
      </w:r>
      <w:r>
        <w:rPr>
          <w:rFonts w:hint="eastAsia" w:ascii="仿宋_GB2312" w:hAnsi="宋体" w:eastAsia="仿宋_GB2312"/>
          <w:sz w:val="28"/>
          <w:szCs w:val="28"/>
          <w:highlight w:val="none"/>
          <w:lang w:val="en-US" w:eastAsia="zh-CN"/>
        </w:rPr>
        <w:t>无条件向甲方支付本协议对应合同总价款30%的违约金外，所供</w:t>
      </w:r>
      <w:r>
        <w:rPr>
          <w:rFonts w:hint="eastAsia" w:ascii="仿宋_GB2312" w:hAnsi="宋体" w:eastAsia="仿宋_GB2312"/>
          <w:sz w:val="28"/>
          <w:szCs w:val="28"/>
          <w:highlight w:val="none"/>
        </w:rPr>
        <w:t>货物</w:t>
      </w:r>
      <w:r>
        <w:rPr>
          <w:rFonts w:hint="eastAsia" w:ascii="仿宋_GB2312" w:hAnsi="宋体" w:eastAsia="仿宋_GB2312"/>
          <w:sz w:val="28"/>
          <w:szCs w:val="28"/>
          <w:highlight w:val="none"/>
          <w:lang w:val="en-US" w:eastAsia="zh-CN"/>
        </w:rPr>
        <w:t>免费给</w:t>
      </w:r>
      <w:r>
        <w:rPr>
          <w:rFonts w:hint="eastAsia" w:ascii="仿宋_GB2312" w:hAnsi="宋体" w:eastAsia="仿宋_GB2312"/>
          <w:sz w:val="28"/>
          <w:szCs w:val="28"/>
          <w:highlight w:val="none"/>
        </w:rPr>
        <w:t>甲方</w:t>
      </w:r>
      <w:r>
        <w:rPr>
          <w:rFonts w:hint="eastAsia" w:ascii="仿宋_GB2312" w:hAnsi="宋体" w:eastAsia="仿宋_GB2312"/>
          <w:sz w:val="28"/>
          <w:szCs w:val="28"/>
          <w:highlight w:val="none"/>
          <w:lang w:val="en-US" w:eastAsia="zh-CN"/>
        </w:rPr>
        <w:t>作为赔偿</w:t>
      </w:r>
      <w:r>
        <w:rPr>
          <w:rFonts w:hint="eastAsia" w:ascii="仿宋_GB2312" w:hAnsi="宋体" w:eastAsia="仿宋_GB2312"/>
          <w:sz w:val="28"/>
          <w:szCs w:val="28"/>
          <w:highlight w:val="none"/>
        </w:rPr>
        <w:t>，并赔偿因此给甲方造成的所有损失。</w:t>
      </w:r>
    </w:p>
    <w:p w14:paraId="413E81EB">
      <w:pPr>
        <w:pStyle w:val="20"/>
        <w:numPr>
          <w:ilvl w:val="2"/>
          <w:numId w:val="2"/>
        </w:numPr>
        <w:spacing w:line="480" w:lineRule="exact"/>
        <w:ind w:left="-1" w:leftChars="0" w:firstLine="565" w:firstLineChars="0"/>
        <w:rPr>
          <w:rFonts w:hint="eastAsia" w:ascii="仿宋" w:hAnsi="仿宋" w:eastAsia="仿宋" w:cs="仿宋"/>
          <w:sz w:val="28"/>
          <w:szCs w:val="28"/>
        </w:rPr>
      </w:pPr>
      <w:r>
        <w:rPr>
          <w:rFonts w:hint="eastAsia" w:ascii="仿宋" w:hAnsi="仿宋" w:eastAsia="仿宋" w:cs="仿宋"/>
          <w:sz w:val="28"/>
          <w:szCs w:val="28"/>
        </w:rPr>
        <w:t>到货品牌或型号不符合合同协议的，货物性能经甲方确认满足使用要求且优于合同协议规定品牌或型号的，甲方可接受但不增加货款；货物性能低于合同协议规定品牌或型号，但甲方判定能让步接受的，</w:t>
      </w:r>
      <w:r>
        <w:rPr>
          <w:rFonts w:hint="eastAsia" w:ascii="仿宋" w:hAnsi="仿宋" w:eastAsia="仿宋" w:cs="仿宋"/>
          <w:sz w:val="28"/>
          <w:szCs w:val="28"/>
          <w:lang w:eastAsia="zh-CN"/>
        </w:rPr>
        <w:t>乙方</w:t>
      </w:r>
      <w:r>
        <w:rPr>
          <w:rFonts w:hint="eastAsia" w:ascii="仿宋" w:hAnsi="仿宋" w:eastAsia="仿宋" w:cs="仿宋"/>
          <w:sz w:val="28"/>
          <w:szCs w:val="28"/>
        </w:rPr>
        <w:t>按合同协议规定品牌或型号货物价格的2倍</w:t>
      </w:r>
      <w:r>
        <w:rPr>
          <w:rFonts w:hint="eastAsia" w:ascii="仿宋" w:hAnsi="仿宋" w:eastAsia="仿宋" w:cs="仿宋"/>
          <w:sz w:val="28"/>
          <w:szCs w:val="28"/>
          <w:lang w:val="en-US" w:eastAsia="zh-CN"/>
        </w:rPr>
        <w:t>向甲方支付违约金</w:t>
      </w:r>
      <w:r>
        <w:rPr>
          <w:rFonts w:hint="eastAsia" w:ascii="仿宋" w:hAnsi="仿宋" w:eastAsia="仿宋" w:cs="仿宋"/>
          <w:sz w:val="28"/>
          <w:szCs w:val="28"/>
        </w:rPr>
        <w:t>；甲方判定不能让步接受的，按照</w:t>
      </w:r>
      <w:r>
        <w:rPr>
          <w:rFonts w:hint="eastAsia" w:ascii="仿宋" w:hAnsi="仿宋" w:eastAsia="仿宋" w:cs="仿宋"/>
          <w:sz w:val="28"/>
          <w:szCs w:val="28"/>
          <w:lang w:val="en-US" w:eastAsia="zh-CN"/>
        </w:rPr>
        <w:t>五</w:t>
      </w:r>
      <w:r>
        <w:rPr>
          <w:rFonts w:hint="eastAsia" w:ascii="仿宋" w:hAnsi="仿宋" w:eastAsia="仿宋" w:cs="仿宋"/>
          <w:sz w:val="28"/>
          <w:szCs w:val="28"/>
        </w:rPr>
        <w:t>.2.b条款执行。</w:t>
      </w:r>
    </w:p>
    <w:p w14:paraId="0A4F4F20">
      <w:pPr>
        <w:pStyle w:val="20"/>
        <w:numPr>
          <w:ilvl w:val="2"/>
          <w:numId w:val="2"/>
        </w:numPr>
        <w:spacing w:line="480" w:lineRule="exact"/>
        <w:ind w:left="-1" w:leftChars="0" w:firstLine="565" w:firstLineChars="0"/>
        <w:rPr>
          <w:rFonts w:hint="eastAsia" w:ascii="仿宋" w:hAnsi="仿宋" w:eastAsia="仿宋" w:cs="仿宋"/>
          <w:sz w:val="28"/>
          <w:szCs w:val="28"/>
        </w:rPr>
      </w:pPr>
      <w:r>
        <w:rPr>
          <w:rFonts w:hint="eastAsia" w:ascii="仿宋" w:hAnsi="仿宋" w:eastAsia="仿宋" w:cs="仿宋"/>
          <w:sz w:val="28"/>
          <w:szCs w:val="28"/>
        </w:rPr>
        <w:t>检验合格必须由甲方出具正式的检验合格证明，否则视为不合格。</w:t>
      </w:r>
    </w:p>
    <w:p w14:paraId="275397C2">
      <w:pPr>
        <w:pStyle w:val="20"/>
        <w:numPr>
          <w:ilvl w:val="2"/>
          <w:numId w:val="2"/>
        </w:numPr>
        <w:spacing w:line="480" w:lineRule="exact"/>
        <w:ind w:left="-1" w:leftChars="0" w:firstLine="565" w:firstLineChars="0"/>
        <w:rPr>
          <w:rFonts w:hint="eastAsia" w:ascii="仿宋" w:hAnsi="仿宋" w:eastAsia="仿宋" w:cs="仿宋"/>
          <w:sz w:val="28"/>
          <w:szCs w:val="28"/>
        </w:rPr>
      </w:pPr>
      <w:r>
        <w:rPr>
          <w:rFonts w:hint="eastAsia" w:ascii="仿宋" w:hAnsi="仿宋" w:eastAsia="仿宋" w:cs="仿宋"/>
          <w:sz w:val="28"/>
          <w:szCs w:val="28"/>
        </w:rPr>
        <w:t>未经甲方外检科检验、确认的，如果质量合格，乙方</w:t>
      </w:r>
      <w:r>
        <w:rPr>
          <w:rFonts w:hint="eastAsia" w:ascii="仿宋" w:hAnsi="仿宋" w:eastAsia="仿宋" w:cs="仿宋"/>
          <w:sz w:val="28"/>
          <w:szCs w:val="28"/>
          <w:lang w:eastAsia="zh-CN"/>
        </w:rPr>
        <w:t>按</w:t>
      </w:r>
      <w:r>
        <w:rPr>
          <w:rFonts w:hint="eastAsia" w:ascii="仿宋" w:hAnsi="仿宋" w:eastAsia="仿宋" w:cs="仿宋"/>
          <w:sz w:val="28"/>
          <w:szCs w:val="28"/>
        </w:rPr>
        <w:t>不低于未检货物价值10%</w:t>
      </w:r>
      <w:r>
        <w:rPr>
          <w:rFonts w:hint="eastAsia" w:ascii="仿宋" w:hAnsi="仿宋" w:eastAsia="仿宋" w:cs="仿宋"/>
          <w:sz w:val="28"/>
          <w:szCs w:val="28"/>
          <w:lang w:eastAsia="zh-CN"/>
        </w:rPr>
        <w:t>向甲方支付违约金</w:t>
      </w:r>
      <w:r>
        <w:rPr>
          <w:rFonts w:hint="eastAsia" w:ascii="仿宋" w:hAnsi="仿宋" w:eastAsia="仿宋" w:cs="仿宋"/>
          <w:sz w:val="28"/>
          <w:szCs w:val="28"/>
        </w:rPr>
        <w:t>；如质量不合格，但甲方判定能让步接受的，按</w:t>
      </w:r>
      <w:r>
        <w:rPr>
          <w:rFonts w:hint="eastAsia" w:ascii="仿宋" w:hAnsi="仿宋" w:eastAsia="仿宋" w:cs="仿宋"/>
          <w:sz w:val="28"/>
          <w:szCs w:val="28"/>
          <w:lang w:val="en-US" w:eastAsia="zh-CN"/>
        </w:rPr>
        <w:t>五</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条款执行；如质量不合格，且甲方判定不可让步接受的，乙方必须予以更换，并承担因此给甲方造成的所有损失。</w:t>
      </w:r>
    </w:p>
    <w:p w14:paraId="5D50C980">
      <w:pPr>
        <w:pStyle w:val="20"/>
        <w:numPr>
          <w:ilvl w:val="1"/>
          <w:numId w:val="2"/>
        </w:numPr>
        <w:spacing w:line="480" w:lineRule="exact"/>
        <w:ind w:left="42" w:leftChars="0" w:firstLine="565" w:firstLineChars="0"/>
        <w:rPr>
          <w:rFonts w:hint="eastAsia" w:ascii="仿宋" w:hAnsi="仿宋" w:eastAsia="仿宋" w:cs="仿宋"/>
          <w:sz w:val="28"/>
          <w:szCs w:val="28"/>
        </w:rPr>
      </w:pPr>
      <w:r>
        <w:rPr>
          <w:rFonts w:hint="eastAsia" w:ascii="仿宋" w:hAnsi="仿宋" w:eastAsia="仿宋" w:cs="仿宋"/>
          <w:sz w:val="28"/>
          <w:szCs w:val="28"/>
          <w:lang w:val="en-US" w:eastAsia="zh-CN"/>
        </w:rPr>
        <w:t>分项及隐蔽工程施工完成</w:t>
      </w:r>
      <w:r>
        <w:rPr>
          <w:rFonts w:hint="eastAsia" w:ascii="仿宋" w:hAnsi="仿宋" w:eastAsia="仿宋" w:cs="仿宋"/>
          <w:sz w:val="28"/>
          <w:szCs w:val="28"/>
        </w:rPr>
        <w:t>，</w:t>
      </w:r>
      <w:r>
        <w:rPr>
          <w:rFonts w:hint="eastAsia" w:ascii="仿宋" w:hAnsi="仿宋" w:eastAsia="仿宋" w:cs="仿宋"/>
          <w:sz w:val="28"/>
          <w:szCs w:val="28"/>
          <w:lang w:val="en-US" w:eastAsia="zh-CN"/>
        </w:rPr>
        <w:t>甲方、监理进行隐蔽</w:t>
      </w:r>
      <w:r>
        <w:rPr>
          <w:rFonts w:hint="eastAsia" w:ascii="仿宋" w:hAnsi="仿宋" w:eastAsia="仿宋" w:cs="仿宋"/>
          <w:sz w:val="28"/>
          <w:szCs w:val="28"/>
        </w:rPr>
        <w:t>验收</w:t>
      </w:r>
      <w:r>
        <w:rPr>
          <w:rFonts w:hint="eastAsia" w:ascii="仿宋" w:hAnsi="仿宋" w:eastAsia="仿宋" w:cs="仿宋"/>
          <w:sz w:val="28"/>
          <w:szCs w:val="28"/>
          <w:lang w:val="en-US" w:eastAsia="zh-CN"/>
        </w:rPr>
        <w:t>确认；全部施工完成，现场进行据实测量验收；</w:t>
      </w:r>
    </w:p>
    <w:p w14:paraId="7821FEAD">
      <w:pPr>
        <w:pStyle w:val="20"/>
        <w:numPr>
          <w:ilvl w:val="2"/>
          <w:numId w:val="2"/>
        </w:numPr>
        <w:spacing w:line="480" w:lineRule="exact"/>
        <w:ind w:left="1" w:firstLine="565" w:firstLineChars="0"/>
        <w:rPr>
          <w:rFonts w:hint="eastAsia" w:ascii="仿宋" w:hAnsi="仿宋" w:eastAsia="仿宋" w:cs="仿宋"/>
          <w:sz w:val="28"/>
          <w:szCs w:val="28"/>
        </w:rPr>
      </w:pPr>
      <w:r>
        <w:rPr>
          <w:rFonts w:hint="eastAsia" w:ascii="仿宋" w:hAnsi="仿宋" w:eastAsia="仿宋" w:cs="仿宋"/>
          <w:sz w:val="28"/>
          <w:szCs w:val="28"/>
        </w:rPr>
        <w:t>项目完备验收条件后，由乙方提出书面</w:t>
      </w:r>
      <w:r>
        <w:rPr>
          <w:rFonts w:hint="eastAsia" w:ascii="仿宋" w:hAnsi="仿宋" w:eastAsia="仿宋" w:cs="仿宋"/>
          <w:sz w:val="28"/>
          <w:szCs w:val="28"/>
          <w:lang w:val="en-US" w:eastAsia="zh-CN"/>
        </w:rPr>
        <w:t>竣工</w:t>
      </w:r>
      <w:r>
        <w:rPr>
          <w:rFonts w:hint="eastAsia" w:ascii="仿宋" w:hAnsi="仿宋" w:eastAsia="仿宋" w:cs="仿宋"/>
          <w:sz w:val="28"/>
          <w:szCs w:val="28"/>
        </w:rPr>
        <w:t>验收申请</w:t>
      </w:r>
      <w:r>
        <w:rPr>
          <w:rFonts w:hint="eastAsia" w:ascii="仿宋" w:hAnsi="仿宋" w:eastAsia="仿宋" w:cs="仿宋"/>
          <w:sz w:val="28"/>
          <w:szCs w:val="28"/>
          <w:lang w:val="en-US" w:eastAsia="zh-CN"/>
        </w:rPr>
        <w:t>按竣工验收流程</w:t>
      </w:r>
      <w:r>
        <w:rPr>
          <w:rFonts w:hint="eastAsia" w:ascii="仿宋" w:hAnsi="仿宋" w:eastAsia="仿宋" w:cs="仿宋"/>
          <w:sz w:val="28"/>
          <w:szCs w:val="28"/>
        </w:rPr>
        <w:t>给甲方。</w:t>
      </w:r>
    </w:p>
    <w:p w14:paraId="324715F6">
      <w:pPr>
        <w:pStyle w:val="20"/>
        <w:numPr>
          <w:ilvl w:val="2"/>
          <w:numId w:val="2"/>
        </w:numPr>
        <w:spacing w:line="480" w:lineRule="exact"/>
        <w:ind w:left="1" w:firstLine="565" w:firstLineChars="0"/>
        <w:rPr>
          <w:rFonts w:hint="eastAsia" w:ascii="仿宋" w:hAnsi="仿宋" w:eastAsia="仿宋" w:cs="仿宋"/>
          <w:sz w:val="28"/>
          <w:szCs w:val="28"/>
        </w:rPr>
      </w:pPr>
      <w:r>
        <w:rPr>
          <w:rFonts w:hint="eastAsia" w:ascii="仿宋" w:hAnsi="仿宋" w:eastAsia="仿宋" w:cs="仿宋"/>
          <w:sz w:val="28"/>
          <w:szCs w:val="28"/>
        </w:rPr>
        <w:t>甲方在收到验收申请后，组织协调相关部门或人员进行联合验收，必要时可聘请第三方机构进行验收。</w:t>
      </w:r>
    </w:p>
    <w:p w14:paraId="3E04A7B5">
      <w:pPr>
        <w:pStyle w:val="20"/>
        <w:numPr>
          <w:ilvl w:val="2"/>
          <w:numId w:val="2"/>
        </w:numPr>
        <w:spacing w:line="480" w:lineRule="exact"/>
        <w:ind w:left="1" w:firstLine="565" w:firstLineChars="0"/>
        <w:rPr>
          <w:rFonts w:hint="eastAsia" w:ascii="仿宋" w:hAnsi="仿宋" w:eastAsia="仿宋" w:cs="仿宋"/>
          <w:sz w:val="28"/>
          <w:szCs w:val="28"/>
        </w:rPr>
      </w:pPr>
      <w:r>
        <w:rPr>
          <w:rFonts w:hint="eastAsia" w:ascii="仿宋" w:hAnsi="仿宋" w:eastAsia="仿宋" w:cs="仿宋"/>
          <w:sz w:val="28"/>
          <w:szCs w:val="28"/>
        </w:rPr>
        <w:t>技术指标、功能、性能等如果达不到技术要求，但甲方判定能让步接受的，</w:t>
      </w:r>
      <w:r>
        <w:rPr>
          <w:rFonts w:hint="eastAsia" w:ascii="仿宋" w:hAnsi="仿宋" w:eastAsia="仿宋" w:cs="仿宋"/>
          <w:sz w:val="28"/>
          <w:szCs w:val="28"/>
          <w:highlight w:val="none"/>
        </w:rPr>
        <w:t>在货物整体价格基础上，</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按不达标项目所欠比例</w:t>
      </w:r>
      <w:r>
        <w:rPr>
          <w:rFonts w:hint="eastAsia" w:ascii="仿宋" w:hAnsi="仿宋" w:eastAsia="仿宋" w:cs="仿宋"/>
          <w:sz w:val="28"/>
          <w:szCs w:val="28"/>
          <w:highlight w:val="none"/>
          <w:lang w:eastAsia="zh-CN"/>
        </w:rPr>
        <w:t>向甲方支付违约金</w:t>
      </w:r>
      <w:r>
        <w:rPr>
          <w:rFonts w:hint="eastAsia" w:ascii="仿宋" w:hAnsi="仿宋" w:eastAsia="仿宋" w:cs="仿宋"/>
          <w:sz w:val="28"/>
          <w:szCs w:val="28"/>
        </w:rPr>
        <w:t>；如果有多项指标不达标，</w:t>
      </w:r>
      <w:r>
        <w:rPr>
          <w:rFonts w:hint="eastAsia" w:ascii="仿宋" w:hAnsi="仿宋" w:eastAsia="仿宋" w:cs="仿宋"/>
          <w:sz w:val="28"/>
          <w:szCs w:val="28"/>
          <w:lang w:eastAsia="zh-CN"/>
        </w:rPr>
        <w:t>乙方</w:t>
      </w:r>
      <w:r>
        <w:rPr>
          <w:rFonts w:hint="eastAsia" w:ascii="仿宋" w:hAnsi="仿宋" w:eastAsia="仿宋" w:cs="仿宋"/>
          <w:sz w:val="28"/>
          <w:szCs w:val="28"/>
        </w:rPr>
        <w:t>累加</w:t>
      </w:r>
      <w:r>
        <w:rPr>
          <w:rFonts w:hint="eastAsia" w:ascii="仿宋" w:hAnsi="仿宋" w:eastAsia="仿宋" w:cs="仿宋"/>
          <w:sz w:val="28"/>
          <w:szCs w:val="28"/>
          <w:highlight w:val="none"/>
          <w:lang w:eastAsia="zh-CN"/>
        </w:rPr>
        <w:t>向甲方支付违约金</w:t>
      </w:r>
      <w:r>
        <w:rPr>
          <w:rFonts w:hint="eastAsia" w:ascii="仿宋" w:hAnsi="仿宋" w:eastAsia="仿宋" w:cs="仿宋"/>
          <w:sz w:val="28"/>
          <w:szCs w:val="28"/>
        </w:rPr>
        <w:t>。</w:t>
      </w:r>
      <w:r>
        <w:rPr>
          <w:rFonts w:hint="eastAsia" w:ascii="仿宋" w:hAnsi="仿宋" w:eastAsia="仿宋" w:cs="仿宋"/>
          <w:sz w:val="28"/>
          <w:szCs w:val="28"/>
          <w:lang w:eastAsia="zh-CN"/>
        </w:rPr>
        <w:t>违约金</w:t>
      </w:r>
      <w:r>
        <w:rPr>
          <w:rFonts w:hint="eastAsia" w:ascii="仿宋" w:hAnsi="仿宋" w:eastAsia="仿宋" w:cs="仿宋"/>
          <w:sz w:val="28"/>
          <w:szCs w:val="28"/>
        </w:rPr>
        <w:t>并不能免除乙方后续应承担的售后服务、质保期等责任和义务。</w:t>
      </w:r>
    </w:p>
    <w:p w14:paraId="60E4268D">
      <w:pPr>
        <w:pStyle w:val="20"/>
        <w:numPr>
          <w:ilvl w:val="2"/>
          <w:numId w:val="2"/>
        </w:numPr>
        <w:spacing w:line="480" w:lineRule="exact"/>
        <w:ind w:left="37" w:firstLine="585" w:firstLineChars="0"/>
        <w:rPr>
          <w:rFonts w:hint="eastAsia" w:ascii="仿宋_GB2312" w:hAnsi="宋体" w:eastAsia="仿宋_GB2312"/>
          <w:sz w:val="28"/>
          <w:szCs w:val="28"/>
          <w:highlight w:val="none"/>
        </w:rPr>
      </w:pPr>
      <w:r>
        <w:rPr>
          <w:rFonts w:hint="eastAsia" w:ascii="仿宋_GB2312" w:hAnsi="宋体" w:eastAsia="仿宋_GB2312"/>
          <w:sz w:val="28"/>
          <w:szCs w:val="28"/>
          <w:highlight w:val="none"/>
        </w:rPr>
        <w:t>技术指标不合格，甲方判定不能让步接受的，甲方允许乙方进行为期7天的整改，整改后再验收，如果进行2次整改验收仍不合格，乙方</w:t>
      </w:r>
      <w:r>
        <w:rPr>
          <w:rFonts w:hint="eastAsia" w:ascii="仿宋_GB2312" w:hAnsi="宋体" w:eastAsia="仿宋_GB2312"/>
          <w:sz w:val="28"/>
          <w:szCs w:val="28"/>
          <w:highlight w:val="none"/>
          <w:lang w:val="en-US" w:eastAsia="zh-CN"/>
        </w:rPr>
        <w:t>无条件向甲方支付本协议对应合同总价款30%的违约金外，</w:t>
      </w:r>
      <w:r>
        <w:rPr>
          <w:rFonts w:hint="eastAsia" w:ascii="仿宋_GB2312" w:hAnsi="宋体" w:eastAsia="仿宋_GB2312"/>
          <w:sz w:val="28"/>
          <w:szCs w:val="28"/>
          <w:highlight w:val="none"/>
        </w:rPr>
        <w:t>安装的设备或货物</w:t>
      </w:r>
      <w:r>
        <w:rPr>
          <w:rFonts w:hint="eastAsia" w:ascii="仿宋_GB2312" w:hAnsi="宋体" w:eastAsia="仿宋_GB2312"/>
          <w:sz w:val="28"/>
          <w:szCs w:val="28"/>
          <w:highlight w:val="none"/>
          <w:lang w:val="en-US" w:eastAsia="zh-CN"/>
        </w:rPr>
        <w:t>免费给</w:t>
      </w:r>
      <w:r>
        <w:rPr>
          <w:rFonts w:hint="eastAsia" w:ascii="仿宋_GB2312" w:hAnsi="宋体" w:eastAsia="仿宋_GB2312"/>
          <w:sz w:val="28"/>
          <w:szCs w:val="28"/>
          <w:highlight w:val="none"/>
        </w:rPr>
        <w:t>甲方</w:t>
      </w:r>
      <w:r>
        <w:rPr>
          <w:rFonts w:hint="eastAsia" w:ascii="仿宋_GB2312" w:hAnsi="宋体" w:eastAsia="仿宋_GB2312"/>
          <w:sz w:val="28"/>
          <w:szCs w:val="28"/>
          <w:highlight w:val="none"/>
          <w:lang w:val="en-US" w:eastAsia="zh-CN"/>
        </w:rPr>
        <w:t>作为赔偿</w:t>
      </w:r>
      <w:r>
        <w:rPr>
          <w:rFonts w:hint="eastAsia" w:ascii="仿宋_GB2312" w:hAnsi="宋体" w:eastAsia="仿宋_GB2312"/>
          <w:sz w:val="28"/>
          <w:szCs w:val="28"/>
          <w:highlight w:val="none"/>
        </w:rPr>
        <w:t>，并赔偿因此给甲方造成的所有损失。</w:t>
      </w:r>
    </w:p>
    <w:p w14:paraId="05CCDB0A">
      <w:pPr>
        <w:pStyle w:val="20"/>
        <w:numPr>
          <w:ilvl w:val="2"/>
          <w:numId w:val="2"/>
        </w:numPr>
        <w:spacing w:line="480" w:lineRule="exact"/>
        <w:ind w:left="37" w:firstLine="585" w:firstLineChars="0"/>
        <w:rPr>
          <w:rFonts w:hint="eastAsia" w:ascii="仿宋_GB2312" w:hAnsi="宋体" w:eastAsia="仿宋_GB2312"/>
          <w:sz w:val="28"/>
          <w:szCs w:val="28"/>
        </w:rPr>
      </w:pPr>
      <w:r>
        <w:rPr>
          <w:rFonts w:hint="eastAsia" w:ascii="仿宋_GB2312" w:hAnsi="宋体" w:eastAsia="仿宋_GB2312"/>
          <w:sz w:val="28"/>
          <w:szCs w:val="28"/>
        </w:rPr>
        <w:t>验收合格必须由甲方出具正式的验收合格证明，否则视为不合格。</w:t>
      </w:r>
    </w:p>
    <w:p w14:paraId="31B531BB">
      <w:pPr>
        <w:pStyle w:val="20"/>
        <w:numPr>
          <w:numId w:val="0"/>
        </w:numPr>
        <w:spacing w:line="480" w:lineRule="exact"/>
        <w:ind w:firstLine="560" w:firstLineChars="200"/>
        <w:rPr>
          <w:rFonts w:hint="eastAsia" w:ascii="Times New Roman" w:hAnsi="Times New Roman" w:eastAsia="宋体" w:cs="宋体"/>
          <w:kern w:val="2"/>
          <w:sz w:val="28"/>
          <w:szCs w:val="28"/>
          <w:lang w:val="en-US" w:eastAsia="zh-CN" w:bidi="ar-SA"/>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上述验收过程中，如果乙方</w:t>
      </w:r>
      <w:r>
        <w:rPr>
          <w:rFonts w:hint="eastAsia" w:ascii="仿宋_GB2312" w:hAnsi="宋体" w:eastAsia="仿宋_GB2312"/>
          <w:sz w:val="28"/>
          <w:szCs w:val="28"/>
          <w:lang w:eastAsia="zh-CN"/>
        </w:rPr>
        <w:t>采取以次充好、以假充真等</w:t>
      </w:r>
      <w:r>
        <w:rPr>
          <w:rFonts w:hint="eastAsia" w:ascii="仿宋_GB2312" w:hAnsi="宋体" w:eastAsia="仿宋_GB2312"/>
          <w:sz w:val="28"/>
          <w:szCs w:val="28"/>
        </w:rPr>
        <w:t>弄虚作假</w:t>
      </w:r>
      <w:r>
        <w:rPr>
          <w:rFonts w:hint="eastAsia" w:ascii="仿宋_GB2312" w:hAnsi="宋体" w:eastAsia="仿宋_GB2312"/>
          <w:sz w:val="28"/>
          <w:szCs w:val="28"/>
          <w:lang w:eastAsia="zh-CN"/>
        </w:rPr>
        <w:t>的手段</w:t>
      </w:r>
      <w:r>
        <w:rPr>
          <w:rFonts w:hint="eastAsia" w:ascii="仿宋_GB2312" w:hAnsi="宋体" w:eastAsia="仿宋_GB2312"/>
          <w:sz w:val="28"/>
          <w:szCs w:val="28"/>
        </w:rPr>
        <w:t>欺骗</w:t>
      </w:r>
      <w:r>
        <w:rPr>
          <w:rFonts w:hint="eastAsia" w:ascii="仿宋_GB2312" w:hAnsi="宋体" w:eastAsia="仿宋_GB2312"/>
          <w:sz w:val="28"/>
          <w:szCs w:val="28"/>
          <w:lang w:eastAsia="zh-CN"/>
        </w:rPr>
        <w:t>甲方的</w:t>
      </w:r>
      <w:r>
        <w:rPr>
          <w:rFonts w:hint="eastAsia" w:ascii="仿宋_GB2312" w:hAnsi="宋体" w:eastAsia="仿宋_GB2312"/>
          <w:sz w:val="28"/>
          <w:szCs w:val="28"/>
        </w:rPr>
        <w:t>，</w:t>
      </w:r>
      <w:r>
        <w:rPr>
          <w:rFonts w:hint="eastAsia" w:ascii="仿宋_GB2312" w:hAnsi="宋体" w:eastAsia="仿宋_GB2312"/>
          <w:sz w:val="28"/>
          <w:szCs w:val="28"/>
          <w:lang w:eastAsia="zh-CN"/>
        </w:rPr>
        <w:t>发现一次，</w:t>
      </w:r>
      <w:r>
        <w:rPr>
          <w:rFonts w:hint="eastAsia" w:ascii="仿宋_GB2312" w:hAnsi="宋体" w:eastAsia="仿宋_GB2312"/>
          <w:sz w:val="28"/>
          <w:szCs w:val="28"/>
        </w:rPr>
        <w:t>视为自双方合作开始</w:t>
      </w:r>
      <w:r>
        <w:rPr>
          <w:rFonts w:hint="eastAsia" w:ascii="仿宋_GB2312" w:hAnsi="宋体" w:eastAsia="仿宋_GB2312"/>
          <w:sz w:val="28"/>
          <w:szCs w:val="28"/>
          <w:lang w:eastAsia="zh-CN"/>
        </w:rPr>
        <w:t>乙方</w:t>
      </w:r>
      <w:r>
        <w:rPr>
          <w:rFonts w:hint="eastAsia" w:ascii="仿宋_GB2312" w:hAnsi="宋体" w:eastAsia="仿宋_GB2312"/>
          <w:sz w:val="28"/>
          <w:szCs w:val="28"/>
        </w:rPr>
        <w:t>均存在</w:t>
      </w:r>
      <w:r>
        <w:rPr>
          <w:rFonts w:hint="eastAsia" w:ascii="仿宋_GB2312" w:hAnsi="宋体" w:eastAsia="仿宋_GB2312"/>
          <w:sz w:val="28"/>
          <w:szCs w:val="28"/>
          <w:lang w:eastAsia="zh-CN"/>
        </w:rPr>
        <w:t>上述</w:t>
      </w:r>
      <w:r>
        <w:rPr>
          <w:rFonts w:hint="eastAsia" w:ascii="仿宋_GB2312" w:hAnsi="宋体" w:eastAsia="仿宋_GB2312"/>
          <w:sz w:val="28"/>
          <w:szCs w:val="28"/>
        </w:rPr>
        <w:t>行为，</w:t>
      </w:r>
      <w:r>
        <w:rPr>
          <w:rFonts w:hint="eastAsia" w:ascii="仿宋_GB2312" w:hAnsi="宋体" w:eastAsia="仿宋_GB2312"/>
          <w:sz w:val="28"/>
          <w:szCs w:val="28"/>
          <w:lang w:eastAsia="zh-CN"/>
        </w:rPr>
        <w:t>乙方应按照</w:t>
      </w:r>
      <w:r>
        <w:rPr>
          <w:rFonts w:hint="eastAsia" w:ascii="仿宋_GB2312" w:hAnsi="宋体" w:eastAsia="仿宋_GB2312"/>
          <w:sz w:val="28"/>
          <w:szCs w:val="28"/>
        </w:rPr>
        <w:t>自双方合作开始</w:t>
      </w:r>
      <w:r>
        <w:rPr>
          <w:rFonts w:hint="eastAsia" w:ascii="仿宋_GB2312" w:hAnsi="宋体" w:eastAsia="仿宋_GB2312"/>
          <w:sz w:val="28"/>
          <w:szCs w:val="28"/>
          <w:lang w:eastAsia="zh-CN"/>
        </w:rPr>
        <w:t>至今与甲方所签合同总金额</w:t>
      </w:r>
      <w:r>
        <w:rPr>
          <w:rFonts w:hint="eastAsia" w:ascii="仿宋_GB2312" w:hAnsi="宋体" w:eastAsia="仿宋_GB2312"/>
          <w:sz w:val="28"/>
          <w:szCs w:val="28"/>
          <w:lang w:val="en-US" w:eastAsia="zh-CN"/>
        </w:rPr>
        <w:t>20%向甲方支付违约金.</w:t>
      </w:r>
    </w:p>
    <w:p w14:paraId="163BBCD3">
      <w:pPr>
        <w:pStyle w:val="24"/>
        <w:spacing w:line="600" w:lineRule="exact"/>
        <w:ind w:firstLine="0" w:firstLineChars="0"/>
        <w:rPr>
          <w:rFonts w:hint="eastAsia" w:ascii="仿宋" w:hAnsi="仿宋" w:eastAsia="仿宋" w:cs="仿宋"/>
          <w:b/>
          <w:sz w:val="28"/>
          <w:szCs w:val="28"/>
        </w:rPr>
      </w:pPr>
      <w:r>
        <w:rPr>
          <w:rFonts w:hint="eastAsia" w:ascii="仿宋" w:hAnsi="仿宋" w:eastAsia="仿宋" w:cs="仿宋"/>
          <w:b/>
          <w:sz w:val="28"/>
          <w:szCs w:val="28"/>
        </w:rPr>
        <w:t>六．交付进度：</w:t>
      </w:r>
    </w:p>
    <w:p w14:paraId="4CA0D6C7">
      <w:pPr>
        <w:pStyle w:val="20"/>
        <w:spacing w:line="480" w:lineRule="exact"/>
        <w:ind w:firstLine="560"/>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乙方必须在合同生效后接甲方短信、微信、邮件、文字等书面通知后30天完成所有合同约定的工程项目。</w:t>
      </w:r>
    </w:p>
    <w:p w14:paraId="777FA0C0">
      <w:pPr>
        <w:pStyle w:val="20"/>
        <w:spacing w:line="480" w:lineRule="exact"/>
        <w:ind w:firstLine="560"/>
        <w:rPr>
          <w:rFonts w:hint="eastAsia" w:ascii="仿宋" w:hAnsi="仿宋" w:eastAsia="仿宋" w:cs="仿宋"/>
          <w:color w:val="auto"/>
          <w:sz w:val="28"/>
          <w:szCs w:val="28"/>
          <w:lang w:val="en-US"/>
        </w:rPr>
      </w:pPr>
      <w:r>
        <w:rPr>
          <w:rFonts w:hint="eastAsia" w:ascii="仿宋" w:hAnsi="仿宋" w:eastAsia="仿宋" w:cs="仿宋"/>
          <w:color w:val="auto"/>
          <w:sz w:val="28"/>
          <w:szCs w:val="28"/>
          <w:highlight w:val="none"/>
        </w:rPr>
        <w:t>若因乙方原因造成工期延误或影响设备的正常运行，</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每逾期一天</w:t>
      </w:r>
      <w:r>
        <w:rPr>
          <w:rFonts w:hint="eastAsia" w:ascii="仿宋" w:hAnsi="仿宋" w:eastAsia="仿宋" w:cs="仿宋"/>
          <w:color w:val="auto"/>
          <w:sz w:val="28"/>
          <w:szCs w:val="28"/>
          <w:highlight w:val="none"/>
          <w:lang w:eastAsia="zh-CN"/>
        </w:rPr>
        <w:t>应按</w:t>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eastAsia="zh-CN"/>
        </w:rPr>
        <w:t>额</w:t>
      </w:r>
      <w:r>
        <w:rPr>
          <w:rFonts w:hint="eastAsia" w:ascii="仿宋" w:hAnsi="仿宋" w:eastAsia="仿宋" w:cs="仿宋"/>
          <w:color w:val="auto"/>
          <w:sz w:val="28"/>
          <w:szCs w:val="28"/>
          <w:highlight w:val="none"/>
        </w:rPr>
        <w:t>的1%</w:t>
      </w:r>
      <w:r>
        <w:rPr>
          <w:rFonts w:hint="eastAsia" w:ascii="仿宋" w:hAnsi="仿宋" w:eastAsia="仿宋" w:cs="仿宋"/>
          <w:color w:val="auto"/>
          <w:sz w:val="28"/>
          <w:szCs w:val="28"/>
          <w:highlight w:val="none"/>
          <w:lang w:eastAsia="zh-CN"/>
        </w:rPr>
        <w:t>向甲方支付违约金</w:t>
      </w:r>
      <w:r>
        <w:rPr>
          <w:rFonts w:hint="eastAsia" w:ascii="仿宋" w:hAnsi="仿宋" w:eastAsia="仿宋" w:cs="仿宋"/>
          <w:color w:val="auto"/>
          <w:sz w:val="28"/>
          <w:szCs w:val="28"/>
          <w:highlight w:val="none"/>
        </w:rPr>
        <w:t>，并赔偿甲方相应经济损失。若乙方故意逾期或逾期理由不合理，则扣罚合同全部尾款，并赔偿甲方全部损失。</w:t>
      </w:r>
    </w:p>
    <w:p w14:paraId="61B9E796">
      <w:pPr>
        <w:pStyle w:val="20"/>
        <w:numPr>
          <w:numId w:val="0"/>
        </w:numPr>
        <w:spacing w:line="480" w:lineRule="exact"/>
        <w:rPr>
          <w:rFonts w:hint="eastAsia" w:ascii="仿宋_GB2312" w:hAnsi="宋体" w:eastAsia="仿宋_GB2312"/>
          <w:b/>
          <w:color w:val="auto"/>
          <w:sz w:val="28"/>
          <w:szCs w:val="28"/>
        </w:rPr>
      </w:pPr>
      <w:r>
        <w:rPr>
          <w:rFonts w:hint="eastAsia" w:ascii="仿宋_GB2312" w:hAnsi="宋体" w:eastAsia="仿宋_GB2312"/>
          <w:b/>
          <w:color w:val="auto"/>
          <w:sz w:val="28"/>
          <w:szCs w:val="28"/>
          <w:lang w:val="en-US" w:eastAsia="zh-CN"/>
        </w:rPr>
        <w:t>七.</w:t>
      </w:r>
      <w:r>
        <w:rPr>
          <w:rFonts w:hint="eastAsia" w:ascii="仿宋_GB2312" w:hAnsi="宋体" w:eastAsia="仿宋_GB2312"/>
          <w:b/>
          <w:color w:val="auto"/>
          <w:sz w:val="28"/>
          <w:szCs w:val="28"/>
        </w:rPr>
        <w:t>技术服务、质保期与售后服务</w:t>
      </w:r>
    </w:p>
    <w:p w14:paraId="6D6E909D">
      <w:pPr>
        <w:pStyle w:val="20"/>
        <w:numPr>
          <w:ilvl w:val="1"/>
          <w:numId w:val="3"/>
        </w:numPr>
        <w:spacing w:line="480" w:lineRule="exact"/>
        <w:ind w:left="12" w:leftChars="0" w:firstLine="588" w:firstLineChars="0"/>
        <w:rPr>
          <w:rFonts w:hint="eastAsia" w:ascii="仿宋" w:hAnsi="仿宋" w:eastAsia="仿宋" w:cs="仿宋"/>
          <w:color w:val="auto"/>
          <w:sz w:val="28"/>
          <w:szCs w:val="28"/>
        </w:rPr>
      </w:pPr>
      <w:r>
        <w:rPr>
          <w:rFonts w:hint="eastAsia" w:ascii="仿宋" w:hAnsi="仿宋" w:eastAsia="仿宋" w:cs="仿宋"/>
          <w:color w:val="auto"/>
          <w:sz w:val="28"/>
          <w:szCs w:val="28"/>
        </w:rPr>
        <w:t>技术服务，乙方免费为甲方提供</w:t>
      </w:r>
      <w:r>
        <w:rPr>
          <w:rFonts w:hint="eastAsia" w:ascii="仿宋" w:hAnsi="仿宋" w:eastAsia="仿宋" w:cs="仿宋"/>
          <w:color w:val="auto"/>
          <w:sz w:val="28"/>
          <w:szCs w:val="28"/>
          <w:lang w:val="en-US" w:eastAsia="zh-CN"/>
        </w:rPr>
        <w:t>施工项目的</w:t>
      </w:r>
      <w:r>
        <w:rPr>
          <w:rFonts w:hint="eastAsia" w:ascii="仿宋" w:hAnsi="仿宋" w:eastAsia="仿宋" w:cs="仿宋"/>
          <w:color w:val="auto"/>
          <w:sz w:val="28"/>
          <w:szCs w:val="28"/>
        </w:rPr>
        <w:t>技术服务：</w:t>
      </w:r>
      <w:r>
        <w:rPr>
          <w:rFonts w:hint="eastAsia" w:ascii="仿宋" w:hAnsi="仿宋" w:eastAsia="仿宋" w:cs="仿宋"/>
          <w:color w:val="auto"/>
          <w:sz w:val="28"/>
          <w:szCs w:val="28"/>
          <w:lang w:val="en-US" w:eastAsia="zh-CN"/>
        </w:rPr>
        <w:t>接甲方通知乙方必须在24小时内安排技术员到现场处理服务；</w:t>
      </w:r>
    </w:p>
    <w:p w14:paraId="28FE8A80">
      <w:pPr>
        <w:pStyle w:val="20"/>
        <w:numPr>
          <w:ilvl w:val="1"/>
          <w:numId w:val="3"/>
        </w:numPr>
        <w:spacing w:line="480" w:lineRule="exact"/>
        <w:ind w:left="12" w:leftChars="0" w:firstLine="588" w:firstLineChars="0"/>
        <w:rPr>
          <w:rFonts w:hint="eastAsia" w:ascii="仿宋" w:hAnsi="仿宋" w:eastAsia="仿宋" w:cs="仿宋"/>
          <w:color w:val="auto"/>
          <w:sz w:val="28"/>
          <w:szCs w:val="28"/>
        </w:rPr>
      </w:pPr>
      <w:r>
        <w:rPr>
          <w:rFonts w:hint="eastAsia" w:ascii="仿宋" w:hAnsi="仿宋" w:eastAsia="仿宋" w:cs="仿宋"/>
          <w:color w:val="auto"/>
          <w:sz w:val="28"/>
          <w:szCs w:val="28"/>
        </w:rPr>
        <w:t>质保期：</w:t>
      </w:r>
      <w:r>
        <w:rPr>
          <w:rFonts w:hint="eastAsia" w:ascii="仿宋" w:hAnsi="仿宋" w:eastAsia="仿宋" w:cs="仿宋"/>
          <w:color w:val="auto"/>
          <w:sz w:val="28"/>
          <w:szCs w:val="28"/>
          <w:lang w:val="en-US" w:eastAsia="zh-CN"/>
        </w:rPr>
        <w:t>按照国家规定；</w:t>
      </w:r>
      <w:r>
        <w:rPr>
          <w:rFonts w:hint="eastAsia" w:ascii="仿宋" w:hAnsi="仿宋" w:eastAsia="仿宋" w:cs="仿宋"/>
          <w:color w:val="auto"/>
          <w:sz w:val="28"/>
          <w:szCs w:val="28"/>
        </w:rPr>
        <w:t>验收合格后，</w:t>
      </w:r>
      <w:r>
        <w:rPr>
          <w:rFonts w:hint="eastAsia" w:ascii="仿宋" w:hAnsi="仿宋" w:eastAsia="仿宋" w:cs="仿宋"/>
          <w:color w:val="auto"/>
          <w:sz w:val="28"/>
          <w:szCs w:val="28"/>
          <w:lang w:val="en-US" w:eastAsia="zh-CN"/>
        </w:rPr>
        <w:t>为</w:t>
      </w:r>
      <w:r>
        <w:rPr>
          <w:rFonts w:hint="eastAsia" w:ascii="仿宋" w:hAnsi="仿宋" w:eastAsia="仿宋" w:cs="仿宋"/>
          <w:color w:val="auto"/>
          <w:sz w:val="28"/>
          <w:szCs w:val="28"/>
        </w:rPr>
        <w:t>期</w:t>
      </w:r>
      <w:r>
        <w:rPr>
          <w:rFonts w:hint="eastAsia" w:ascii="仿宋" w:hAnsi="仿宋" w:eastAsia="仿宋" w:cs="仿宋"/>
          <w:color w:val="auto"/>
          <w:sz w:val="28"/>
          <w:szCs w:val="28"/>
          <w:lang w:val="en-US" w:eastAsia="zh-CN"/>
        </w:rPr>
        <w:t>1内无质量异议退还质保金</w:t>
      </w:r>
      <w:r>
        <w:rPr>
          <w:rFonts w:hint="eastAsia" w:ascii="仿宋" w:hAnsi="仿宋" w:eastAsia="仿宋" w:cs="仿宋"/>
          <w:color w:val="auto"/>
          <w:sz w:val="28"/>
          <w:szCs w:val="28"/>
        </w:rPr>
        <w:t>。质保期内，出现的质量问题，乙方免费包修、包换、包退，并承担给甲方造成的损失。</w:t>
      </w:r>
    </w:p>
    <w:p w14:paraId="5D9A87E9">
      <w:pPr>
        <w:pStyle w:val="20"/>
        <w:numPr>
          <w:ilvl w:val="1"/>
          <w:numId w:val="3"/>
        </w:numPr>
        <w:spacing w:line="480" w:lineRule="exact"/>
        <w:ind w:left="12" w:leftChars="0" w:firstLine="588" w:firstLineChars="0"/>
        <w:rPr>
          <w:rFonts w:hint="eastAsia" w:ascii="仿宋" w:hAnsi="仿宋" w:eastAsia="仿宋" w:cs="仿宋"/>
          <w:color w:val="auto"/>
          <w:sz w:val="28"/>
          <w:szCs w:val="28"/>
        </w:rPr>
      </w:pPr>
      <w:r>
        <w:rPr>
          <w:rFonts w:hint="eastAsia" w:ascii="仿宋" w:hAnsi="仿宋" w:eastAsia="仿宋" w:cs="仿宋"/>
          <w:color w:val="auto"/>
          <w:sz w:val="28"/>
          <w:szCs w:val="28"/>
        </w:rPr>
        <w:t>售后服务，乙方免费为甲方提供售后服务：</w:t>
      </w:r>
      <w:r>
        <w:rPr>
          <w:rFonts w:hint="eastAsia" w:ascii="仿宋" w:hAnsi="仿宋" w:eastAsia="仿宋" w:cs="仿宋"/>
          <w:color w:val="auto"/>
          <w:sz w:val="28"/>
          <w:szCs w:val="28"/>
          <w:lang w:val="en-US" w:eastAsia="zh-CN"/>
        </w:rPr>
        <w:t>乙方承诺为甲方提供咨询、维修、退货、安装等售后服务；</w:t>
      </w:r>
    </w:p>
    <w:p w14:paraId="72FA304C">
      <w:pPr>
        <w:pStyle w:val="20"/>
        <w:numPr>
          <w:numId w:val="0"/>
        </w:numPr>
        <w:spacing w:line="480" w:lineRule="exact"/>
        <w:rPr>
          <w:rFonts w:hint="eastAsia" w:ascii="仿宋_GB2312" w:hAnsi="宋体" w:eastAsia="仿宋_GB2312"/>
          <w:b/>
          <w:color w:val="auto"/>
          <w:sz w:val="28"/>
          <w:szCs w:val="28"/>
        </w:rPr>
      </w:pPr>
      <w:r>
        <w:rPr>
          <w:rFonts w:hint="eastAsia" w:ascii="仿宋_GB2312" w:hAnsi="宋体" w:eastAsia="仿宋_GB2312"/>
          <w:b/>
          <w:color w:val="auto"/>
          <w:sz w:val="28"/>
          <w:szCs w:val="28"/>
          <w:lang w:val="en-US" w:eastAsia="zh-CN"/>
        </w:rPr>
        <w:t>八.</w:t>
      </w:r>
      <w:r>
        <w:rPr>
          <w:rFonts w:hint="eastAsia" w:ascii="仿宋_GB2312" w:hAnsi="宋体" w:eastAsia="仿宋_GB2312"/>
          <w:b/>
          <w:color w:val="auto"/>
          <w:sz w:val="28"/>
          <w:szCs w:val="28"/>
        </w:rPr>
        <w:t>其它</w:t>
      </w:r>
    </w:p>
    <w:p w14:paraId="2A4501A2">
      <w:pPr>
        <w:pStyle w:val="20"/>
        <w:numPr>
          <w:ilvl w:val="1"/>
          <w:numId w:val="4"/>
        </w:numPr>
        <w:spacing w:line="480" w:lineRule="exact"/>
        <w:ind w:left="12" w:leftChars="0" w:firstLine="560" w:firstLineChars="0"/>
        <w:rPr>
          <w:rFonts w:hint="eastAsia" w:ascii="仿宋" w:hAnsi="仿宋" w:eastAsia="仿宋" w:cs="仿宋"/>
          <w:color w:val="auto"/>
          <w:sz w:val="28"/>
          <w:szCs w:val="28"/>
        </w:rPr>
      </w:pPr>
      <w:r>
        <w:rPr>
          <w:rFonts w:hint="eastAsia" w:ascii="仿宋" w:hAnsi="仿宋" w:eastAsia="仿宋" w:cs="仿宋"/>
          <w:color w:val="auto"/>
          <w:sz w:val="28"/>
          <w:szCs w:val="28"/>
        </w:rPr>
        <w:t>未尽事宜，双方另行协商解决。如遇纠纷，在甲方所在地提起诉讼。</w:t>
      </w:r>
    </w:p>
    <w:p w14:paraId="78DDC6C4">
      <w:pPr>
        <w:pStyle w:val="20"/>
        <w:widowControl/>
        <w:numPr>
          <w:ilvl w:val="1"/>
          <w:numId w:val="4"/>
        </w:numPr>
        <w:spacing w:line="480" w:lineRule="exact"/>
        <w:ind w:left="12" w:leftChars="0" w:firstLine="56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本技术协议一式四份，甲乙双方盖章后随合同一起生效。本协议作为商务合同的附件，与商务合同具有同等的法律效力。</w:t>
      </w:r>
    </w:p>
    <w:p w14:paraId="1DFB2E89">
      <w:pPr>
        <w:spacing w:line="480" w:lineRule="exact"/>
        <w:jc w:val="left"/>
        <w:rPr>
          <w:rFonts w:hint="eastAsia" w:ascii="仿宋" w:hAnsi="仿宋" w:eastAsia="仿宋" w:cs="仿宋"/>
          <w:color w:val="auto"/>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color w:val="auto"/>
          <w:sz w:val="28"/>
          <w:szCs w:val="28"/>
        </w:rPr>
        <w:t>附件1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潍坊特钢集团有限公司安全资质审核备案材料目录</w:t>
      </w:r>
      <w:r>
        <w:rPr>
          <w:rFonts w:hint="eastAsia" w:ascii="仿宋" w:hAnsi="仿宋" w:eastAsia="仿宋" w:cs="仿宋"/>
          <w:color w:val="auto"/>
          <w:sz w:val="28"/>
          <w:szCs w:val="28"/>
          <w:lang w:eastAsia="zh-CN"/>
        </w:rPr>
        <w:t>》</w:t>
      </w:r>
    </w:p>
    <w:p w14:paraId="2337CA70">
      <w:pPr>
        <w:spacing w:line="480" w:lineRule="exact"/>
        <w:ind w:firstLine="280" w:firstLineChars="1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附件</w:t>
      </w:r>
      <w:r>
        <w:rPr>
          <w:rFonts w:hint="eastAsia" w:ascii="仿宋" w:hAnsi="仿宋" w:eastAsia="仿宋" w:cs="仿宋"/>
          <w:color w:val="auto"/>
          <w:sz w:val="28"/>
          <w:szCs w:val="28"/>
          <w:lang w:val="en-US" w:eastAsia="zh-CN"/>
        </w:rPr>
        <w:t>2：《潍坊特钢集团有限公司进厂培训所需资料》</w:t>
      </w:r>
    </w:p>
    <w:p w14:paraId="6FD5683B">
      <w:pPr>
        <w:pStyle w:val="20"/>
        <w:widowControl/>
        <w:numPr>
          <w:ilvl w:val="0"/>
          <w:numId w:val="0"/>
        </w:numPr>
        <w:spacing w:line="480" w:lineRule="exact"/>
        <w:ind w:firstLine="280" w:firstLineChars="1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附件</w:t>
      </w:r>
      <w:r>
        <w:rPr>
          <w:rFonts w:hint="eastAsia" w:ascii="仿宋" w:hAnsi="仿宋" w:eastAsia="仿宋" w:cs="仿宋"/>
          <w:sz w:val="28"/>
          <w:szCs w:val="28"/>
          <w:highlight w:val="none"/>
          <w:lang w:val="en-US" w:eastAsia="zh-CN"/>
        </w:rPr>
        <w:t>3：《农民工工资承诺书》</w:t>
      </w:r>
    </w:p>
    <w:p w14:paraId="788B6280">
      <w:pPr>
        <w:spacing w:line="400" w:lineRule="exact"/>
        <w:rPr>
          <w:rFonts w:hint="eastAsia" w:ascii="仿宋" w:hAnsi="仿宋" w:eastAsia="仿宋" w:cs="仿宋"/>
          <w:sz w:val="28"/>
          <w:szCs w:val="28"/>
        </w:rPr>
      </w:pPr>
    </w:p>
    <w:p w14:paraId="65CE9196">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甲方：潍坊特钢集团有限公司    乙方： </w:t>
      </w:r>
    </w:p>
    <w:p w14:paraId="44107852">
      <w:pPr>
        <w:pStyle w:val="20"/>
        <w:tabs>
          <w:tab w:val="center" w:pos="4573"/>
        </w:tabs>
        <w:spacing w:line="400" w:lineRule="exact"/>
        <w:ind w:firstLine="0" w:firstLineChars="0"/>
        <w:rPr>
          <w:rFonts w:hint="eastAsia" w:ascii="仿宋" w:hAnsi="仿宋" w:eastAsia="仿宋" w:cs="仿宋"/>
          <w:sz w:val="28"/>
          <w:szCs w:val="28"/>
        </w:rPr>
      </w:pPr>
      <w:r>
        <w:rPr>
          <w:rFonts w:hint="eastAsia" w:ascii="仿宋" w:hAnsi="仿宋" w:eastAsia="仿宋" w:cs="仿宋"/>
          <w:sz w:val="28"/>
          <w:szCs w:val="28"/>
        </w:rPr>
        <w:t>（签章）                      （签章）</w:t>
      </w:r>
    </w:p>
    <w:p w14:paraId="3E3287C2">
      <w:pPr>
        <w:pStyle w:val="20"/>
        <w:tabs>
          <w:tab w:val="center" w:pos="4573"/>
        </w:tabs>
        <w:spacing w:line="400" w:lineRule="exact"/>
        <w:ind w:firstLine="0" w:firstLineChars="0"/>
        <w:rPr>
          <w:rFonts w:hint="eastAsia" w:ascii="仿宋" w:hAnsi="仿宋" w:eastAsia="仿宋" w:cs="仿宋"/>
          <w:sz w:val="28"/>
          <w:szCs w:val="28"/>
        </w:rPr>
      </w:pPr>
    </w:p>
    <w:p w14:paraId="6CEE1FD9">
      <w:pPr>
        <w:spacing w:line="480" w:lineRule="exact"/>
        <w:rPr>
          <w:rFonts w:hint="eastAsia" w:ascii="仿宋" w:hAnsi="仿宋" w:eastAsia="仿宋" w:cs="仿宋"/>
          <w:b/>
          <w:bCs/>
          <w:sz w:val="28"/>
          <w:szCs w:val="28"/>
          <w:lang w:eastAsia="zh-CN"/>
        </w:rPr>
        <w:sectPr>
          <w:headerReference r:id="rId5" w:type="default"/>
          <w:footerReference r:id="rId6" w:type="default"/>
          <w:pgSz w:w="11906" w:h="16838"/>
          <w:pgMar w:top="1440" w:right="1803" w:bottom="1440" w:left="1803" w:header="851" w:footer="992" w:gutter="0"/>
          <w:cols w:space="720" w:num="1"/>
          <w:docGrid w:type="lines" w:linePitch="312" w:charSpace="0"/>
        </w:sectPr>
      </w:pPr>
      <w:r>
        <w:rPr>
          <w:rFonts w:hint="eastAsia" w:ascii="仿宋" w:hAnsi="仿宋" w:eastAsia="仿宋" w:cs="仿宋"/>
          <w:sz w:val="28"/>
          <w:szCs w:val="28"/>
        </w:rPr>
        <w:t>日期:                          日期</w:t>
      </w:r>
      <w:r>
        <w:rPr>
          <w:rFonts w:hint="eastAsia" w:ascii="仿宋" w:hAnsi="仿宋" w:eastAsia="仿宋" w:cs="仿宋"/>
          <w:sz w:val="28"/>
          <w:szCs w:val="28"/>
          <w:lang w:eastAsia="zh-CN"/>
        </w:rPr>
        <w:t>：</w:t>
      </w:r>
    </w:p>
    <w:p w14:paraId="501DFC43">
      <w:pPr>
        <w:spacing w:line="480" w:lineRule="exact"/>
        <w:rPr>
          <w:rFonts w:hint="eastAsia" w:ascii="宋体" w:hAnsi="宋体"/>
          <w:b/>
          <w:bCs/>
          <w:sz w:val="28"/>
          <w:szCs w:val="28"/>
        </w:rPr>
      </w:pPr>
      <w:r>
        <w:rPr>
          <w:rFonts w:hint="eastAsia" w:ascii="宋体" w:hAnsi="宋体"/>
          <w:b/>
          <w:bCs/>
          <w:sz w:val="28"/>
          <w:szCs w:val="28"/>
        </w:rPr>
        <w:t>附件1</w:t>
      </w:r>
    </w:p>
    <w:p w14:paraId="10EBA869">
      <w:pPr>
        <w:spacing w:line="48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潍坊特钢集团有限公司</w:t>
      </w:r>
    </w:p>
    <w:p w14:paraId="4A83DB2E">
      <w:pPr>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安全资质审核备案材料目录</w:t>
      </w:r>
    </w:p>
    <w:p w14:paraId="5BCFB49D">
      <w:pPr>
        <w:pStyle w:val="21"/>
        <w:numPr>
          <w:ilvl w:val="0"/>
          <w:numId w:val="5"/>
        </w:numPr>
        <w:spacing w:line="460" w:lineRule="exact"/>
        <w:ind w:left="1" w:firstLine="991" w:firstLineChars="354"/>
        <w:rPr>
          <w:rFonts w:hint="eastAsia" w:ascii="仿宋" w:hAnsi="仿宋" w:eastAsia="仿宋" w:cs="仿宋"/>
          <w:sz w:val="28"/>
          <w:szCs w:val="28"/>
        </w:rPr>
      </w:pPr>
      <w:r>
        <w:rPr>
          <w:rFonts w:hint="eastAsia" w:ascii="仿宋" w:hAnsi="仿宋" w:eastAsia="仿宋" w:cs="仿宋"/>
          <w:sz w:val="28"/>
          <w:szCs w:val="28"/>
        </w:rPr>
        <w:t>企业法人营业执照（复印件）；安全生产许可证；施工企业资质等级证书或其他相关证书；</w:t>
      </w:r>
    </w:p>
    <w:p w14:paraId="79619782">
      <w:pPr>
        <w:pStyle w:val="21"/>
        <w:numPr>
          <w:ilvl w:val="0"/>
          <w:numId w:val="5"/>
        </w:numPr>
        <w:spacing w:line="460" w:lineRule="exact"/>
        <w:ind w:left="1" w:firstLine="991" w:firstLineChars="354"/>
        <w:rPr>
          <w:rFonts w:hint="eastAsia" w:ascii="仿宋" w:hAnsi="仿宋" w:eastAsia="仿宋" w:cs="仿宋"/>
          <w:sz w:val="28"/>
          <w:szCs w:val="28"/>
        </w:rPr>
      </w:pPr>
      <w:r>
        <w:rPr>
          <w:rFonts w:hint="eastAsia" w:ascii="仿宋" w:hAnsi="仿宋" w:eastAsia="仿宋" w:cs="仿宋"/>
          <w:sz w:val="28"/>
          <w:szCs w:val="28"/>
        </w:rPr>
        <w:t>向甲方交纳安全风险保证金的证明；</w:t>
      </w:r>
    </w:p>
    <w:p w14:paraId="545F4B3B">
      <w:pPr>
        <w:numPr>
          <w:ilvl w:val="0"/>
          <w:numId w:val="6"/>
        </w:numPr>
        <w:spacing w:line="460" w:lineRule="exact"/>
        <w:ind w:left="144" w:firstLine="571" w:firstLineChars="204"/>
        <w:rPr>
          <w:rFonts w:hint="eastAsia" w:ascii="仿宋" w:hAnsi="仿宋" w:eastAsia="仿宋" w:cs="仿宋"/>
          <w:sz w:val="28"/>
          <w:szCs w:val="28"/>
        </w:rPr>
      </w:pPr>
      <w:r>
        <w:rPr>
          <w:rFonts w:hint="eastAsia" w:ascii="仿宋" w:hAnsi="仿宋" w:eastAsia="仿宋" w:cs="仿宋"/>
          <w:sz w:val="28"/>
          <w:szCs w:val="28"/>
        </w:rPr>
        <w:t>工程总价在5万元以下的，交纳安全风险保证金为5000元人民币。</w:t>
      </w:r>
    </w:p>
    <w:p w14:paraId="277B6311">
      <w:pPr>
        <w:numPr>
          <w:ilvl w:val="0"/>
          <w:numId w:val="6"/>
        </w:numPr>
        <w:spacing w:line="460" w:lineRule="exact"/>
        <w:ind w:left="144" w:firstLine="571" w:firstLineChars="204"/>
        <w:rPr>
          <w:rFonts w:hint="eastAsia" w:ascii="仿宋" w:hAnsi="仿宋" w:eastAsia="仿宋" w:cs="仿宋"/>
          <w:sz w:val="28"/>
          <w:szCs w:val="28"/>
        </w:rPr>
      </w:pPr>
      <w:r>
        <w:rPr>
          <w:rFonts w:hint="eastAsia" w:ascii="仿宋" w:hAnsi="仿宋" w:eastAsia="仿宋" w:cs="仿宋"/>
          <w:sz w:val="28"/>
          <w:szCs w:val="28"/>
        </w:rPr>
        <w:t xml:space="preserve">工程总价在5万元以上，100万元以下（包括100万元）的，按工程总价10%交纳安全风险保证金。 </w:t>
      </w:r>
    </w:p>
    <w:p w14:paraId="44C2A0EB">
      <w:pPr>
        <w:numPr>
          <w:ilvl w:val="0"/>
          <w:numId w:val="6"/>
        </w:numPr>
        <w:spacing w:line="460" w:lineRule="exact"/>
        <w:ind w:left="144" w:firstLine="571" w:firstLineChars="204"/>
        <w:rPr>
          <w:rFonts w:hint="eastAsia" w:ascii="仿宋" w:hAnsi="仿宋" w:eastAsia="仿宋" w:cs="仿宋"/>
          <w:sz w:val="28"/>
          <w:szCs w:val="28"/>
        </w:rPr>
      </w:pPr>
      <w:r>
        <w:rPr>
          <w:rFonts w:hint="eastAsia" w:ascii="仿宋" w:hAnsi="仿宋" w:eastAsia="仿宋" w:cs="仿宋"/>
          <w:sz w:val="28"/>
          <w:szCs w:val="28"/>
        </w:rPr>
        <w:t>工程总价在100-500万元的，以工程总价100万元交纳10%为基础，每增加100万元或超过10-99万元的，应多交纳安全风险保证金壹万元整。</w:t>
      </w:r>
    </w:p>
    <w:p w14:paraId="451104CB">
      <w:pPr>
        <w:numPr>
          <w:ilvl w:val="0"/>
          <w:numId w:val="6"/>
        </w:numPr>
        <w:spacing w:line="460" w:lineRule="exact"/>
        <w:ind w:left="144" w:firstLine="571" w:firstLineChars="204"/>
        <w:rPr>
          <w:rFonts w:hint="eastAsia" w:ascii="仿宋" w:hAnsi="仿宋" w:eastAsia="仿宋" w:cs="仿宋"/>
          <w:sz w:val="28"/>
          <w:szCs w:val="28"/>
        </w:rPr>
      </w:pPr>
      <w:r>
        <w:rPr>
          <w:rFonts w:hint="eastAsia" w:ascii="仿宋" w:hAnsi="仿宋" w:eastAsia="仿宋" w:cs="仿宋"/>
          <w:sz w:val="28"/>
          <w:szCs w:val="28"/>
        </w:rPr>
        <w:t>工程总价超过500万元以上的，按工程总价5%交纳安全风险保证金。</w:t>
      </w:r>
    </w:p>
    <w:p w14:paraId="7ECADBE8">
      <w:pPr>
        <w:numPr>
          <w:ilvl w:val="0"/>
          <w:numId w:val="6"/>
        </w:numPr>
        <w:spacing w:line="460" w:lineRule="exact"/>
        <w:ind w:left="144" w:firstLine="571" w:firstLineChars="204"/>
        <w:rPr>
          <w:rFonts w:hint="eastAsia" w:ascii="仿宋" w:hAnsi="仿宋" w:eastAsia="仿宋" w:cs="仿宋"/>
          <w:sz w:val="28"/>
          <w:szCs w:val="28"/>
        </w:rPr>
      </w:pPr>
      <w:r>
        <w:rPr>
          <w:rFonts w:hint="eastAsia" w:ascii="仿宋" w:hAnsi="仿宋" w:eastAsia="仿宋" w:cs="仿宋"/>
          <w:sz w:val="28"/>
          <w:szCs w:val="28"/>
        </w:rPr>
        <w:t>对长期在甲方承担施工任务的外协单位，应收取不少于50万元安全风险抵押金，待外协单位撤出甲方，经安全验收签字后方可支付。</w:t>
      </w:r>
    </w:p>
    <w:p w14:paraId="0D5185C6">
      <w:pPr>
        <w:numPr>
          <w:ilvl w:val="0"/>
          <w:numId w:val="6"/>
        </w:numPr>
        <w:spacing w:line="460" w:lineRule="exact"/>
        <w:ind w:left="144" w:firstLine="571" w:firstLineChars="204"/>
        <w:rPr>
          <w:rFonts w:hint="eastAsia" w:ascii="仿宋" w:hAnsi="仿宋" w:eastAsia="仿宋" w:cs="仿宋"/>
          <w:sz w:val="28"/>
          <w:szCs w:val="28"/>
        </w:rPr>
      </w:pPr>
      <w:r>
        <w:rPr>
          <w:rFonts w:hint="eastAsia" w:ascii="仿宋" w:hAnsi="仿宋" w:eastAsia="仿宋" w:cs="仿宋"/>
          <w:sz w:val="28"/>
          <w:szCs w:val="28"/>
        </w:rPr>
        <w:t>在工程竣工后，确认未出现任何安全事故或违规罚款时，由工程管理部门开具工程竣工证明、安全管理部门开具的证明及持交款证明到甲方财务处返还安全风险保证金。</w:t>
      </w:r>
    </w:p>
    <w:p w14:paraId="03D728C0">
      <w:pPr>
        <w:pStyle w:val="21"/>
        <w:numPr>
          <w:ilvl w:val="0"/>
          <w:numId w:val="5"/>
        </w:numPr>
        <w:spacing w:line="460" w:lineRule="exact"/>
        <w:ind w:left="1" w:firstLine="991" w:firstLineChars="354"/>
        <w:rPr>
          <w:rFonts w:hint="eastAsia" w:ascii="仿宋" w:hAnsi="仿宋" w:eastAsia="仿宋" w:cs="仿宋"/>
          <w:sz w:val="28"/>
          <w:szCs w:val="28"/>
        </w:rPr>
      </w:pPr>
      <w:r>
        <w:rPr>
          <w:rFonts w:hint="eastAsia" w:ascii="仿宋" w:hAnsi="仿宋" w:eastAsia="仿宋" w:cs="仿宋"/>
          <w:sz w:val="28"/>
          <w:szCs w:val="28"/>
        </w:rPr>
        <w:t>各种安全生产责任制复印件；</w:t>
      </w:r>
    </w:p>
    <w:p w14:paraId="7A8C4A78">
      <w:pPr>
        <w:pStyle w:val="21"/>
        <w:numPr>
          <w:ilvl w:val="0"/>
          <w:numId w:val="5"/>
        </w:numPr>
        <w:spacing w:line="460" w:lineRule="exact"/>
        <w:ind w:left="1" w:firstLine="991" w:firstLineChars="354"/>
        <w:rPr>
          <w:rFonts w:hint="eastAsia" w:ascii="仿宋" w:hAnsi="仿宋" w:eastAsia="仿宋" w:cs="仿宋"/>
          <w:sz w:val="28"/>
          <w:szCs w:val="28"/>
        </w:rPr>
      </w:pPr>
      <w:r>
        <w:rPr>
          <w:rFonts w:hint="eastAsia" w:ascii="仿宋" w:hAnsi="仿宋" w:eastAsia="仿宋" w:cs="仿宋"/>
          <w:sz w:val="28"/>
          <w:szCs w:val="28"/>
        </w:rPr>
        <w:t>安全生产规章制度和操作规程和目录清单；</w:t>
      </w:r>
    </w:p>
    <w:p w14:paraId="37B5C688">
      <w:pPr>
        <w:pStyle w:val="21"/>
        <w:numPr>
          <w:ilvl w:val="0"/>
          <w:numId w:val="5"/>
        </w:numPr>
        <w:spacing w:line="460" w:lineRule="exact"/>
        <w:ind w:left="1" w:firstLine="991" w:firstLineChars="354"/>
        <w:rPr>
          <w:rFonts w:hint="eastAsia" w:ascii="仿宋" w:hAnsi="仿宋" w:eastAsia="仿宋" w:cs="仿宋"/>
          <w:sz w:val="28"/>
          <w:szCs w:val="28"/>
        </w:rPr>
      </w:pPr>
      <w:r>
        <w:rPr>
          <w:rFonts w:hint="eastAsia" w:ascii="仿宋" w:hAnsi="仿宋" w:eastAsia="仿宋" w:cs="仿宋"/>
          <w:sz w:val="28"/>
          <w:szCs w:val="28"/>
        </w:rPr>
        <w:t>外协单位安全生产管理机构的文件复印件，安全组织机构网络图；</w:t>
      </w:r>
    </w:p>
    <w:p w14:paraId="3422716C">
      <w:pPr>
        <w:pStyle w:val="21"/>
        <w:numPr>
          <w:ilvl w:val="0"/>
          <w:numId w:val="5"/>
        </w:numPr>
        <w:spacing w:line="460" w:lineRule="exact"/>
        <w:ind w:left="1" w:firstLine="991" w:firstLineChars="354"/>
        <w:rPr>
          <w:rFonts w:hint="eastAsia" w:ascii="仿宋" w:hAnsi="仿宋" w:eastAsia="仿宋" w:cs="仿宋"/>
          <w:sz w:val="28"/>
          <w:szCs w:val="28"/>
        </w:rPr>
      </w:pPr>
      <w:r>
        <w:rPr>
          <w:rFonts w:hint="eastAsia" w:ascii="仿宋" w:hAnsi="仿宋" w:eastAsia="仿宋" w:cs="仿宋"/>
          <w:sz w:val="28"/>
          <w:szCs w:val="28"/>
        </w:rPr>
        <w:t>负责人和安全生产管理人员安全资质证书复印件；</w:t>
      </w:r>
    </w:p>
    <w:p w14:paraId="5EC7DBAB">
      <w:pPr>
        <w:pStyle w:val="21"/>
        <w:numPr>
          <w:ilvl w:val="0"/>
          <w:numId w:val="5"/>
        </w:numPr>
        <w:spacing w:line="460" w:lineRule="exact"/>
        <w:ind w:left="1" w:firstLine="991" w:firstLineChars="354"/>
        <w:rPr>
          <w:rFonts w:hint="eastAsia" w:ascii="仿宋" w:hAnsi="仿宋" w:eastAsia="仿宋" w:cs="仿宋"/>
          <w:sz w:val="28"/>
          <w:szCs w:val="28"/>
        </w:rPr>
      </w:pPr>
      <w:r>
        <w:rPr>
          <w:rFonts w:hint="eastAsia" w:ascii="仿宋" w:hAnsi="仿宋" w:eastAsia="仿宋" w:cs="仿宋"/>
          <w:sz w:val="28"/>
          <w:szCs w:val="28"/>
        </w:rPr>
        <w:t>从事特种作业人员名单及操作证书复印件；</w:t>
      </w:r>
    </w:p>
    <w:p w14:paraId="588B231F">
      <w:pPr>
        <w:pStyle w:val="21"/>
        <w:numPr>
          <w:ilvl w:val="0"/>
          <w:numId w:val="5"/>
        </w:numPr>
        <w:spacing w:line="460" w:lineRule="exact"/>
        <w:ind w:left="1" w:firstLine="991" w:firstLineChars="354"/>
        <w:rPr>
          <w:rFonts w:hint="eastAsia" w:ascii="仿宋" w:hAnsi="仿宋" w:eastAsia="仿宋" w:cs="仿宋"/>
          <w:sz w:val="28"/>
          <w:szCs w:val="28"/>
        </w:rPr>
      </w:pPr>
      <w:r>
        <w:rPr>
          <w:rFonts w:hint="eastAsia" w:ascii="仿宋" w:hAnsi="仿宋" w:eastAsia="仿宋" w:cs="仿宋"/>
          <w:sz w:val="28"/>
          <w:szCs w:val="28"/>
        </w:rPr>
        <w:t>为从业人员缴纳工伤保险的证明材料；因特殊情况不能办理工伤保险的，可以出具办理安全生产责任保险或者雇主责任保险的证明材料；</w:t>
      </w:r>
    </w:p>
    <w:p w14:paraId="309C772D">
      <w:pPr>
        <w:pStyle w:val="21"/>
        <w:numPr>
          <w:ilvl w:val="0"/>
          <w:numId w:val="5"/>
        </w:numPr>
        <w:spacing w:line="460" w:lineRule="exact"/>
        <w:ind w:left="1" w:firstLine="991" w:firstLineChars="354"/>
        <w:rPr>
          <w:rFonts w:hint="eastAsia" w:ascii="仿宋" w:hAnsi="仿宋" w:eastAsia="仿宋" w:cs="仿宋"/>
          <w:sz w:val="28"/>
          <w:szCs w:val="28"/>
        </w:rPr>
      </w:pPr>
      <w:r>
        <w:rPr>
          <w:rFonts w:hint="eastAsia" w:ascii="仿宋" w:hAnsi="仿宋" w:eastAsia="仿宋" w:cs="仿宋"/>
          <w:sz w:val="28"/>
          <w:szCs w:val="28"/>
        </w:rPr>
        <w:t>自带的危险性较大的设备、设施必须符合国家安全要求，按规定需进行强制检验的，应经过资质部门检验并提供检验合格证书；</w:t>
      </w:r>
    </w:p>
    <w:p w14:paraId="0543008E">
      <w:pPr>
        <w:pStyle w:val="21"/>
        <w:numPr>
          <w:ilvl w:val="0"/>
          <w:numId w:val="5"/>
        </w:numPr>
        <w:spacing w:line="460" w:lineRule="exact"/>
        <w:ind w:left="1" w:firstLine="991" w:firstLineChars="354"/>
        <w:rPr>
          <w:rFonts w:hint="eastAsia" w:ascii="仿宋" w:hAnsi="仿宋" w:eastAsia="仿宋" w:cs="仿宋"/>
          <w:sz w:val="28"/>
          <w:szCs w:val="28"/>
        </w:rPr>
      </w:pPr>
      <w:r>
        <w:rPr>
          <w:rFonts w:hint="eastAsia" w:ascii="仿宋" w:hAnsi="仿宋" w:eastAsia="仿宋" w:cs="仿宋"/>
          <w:sz w:val="28"/>
          <w:szCs w:val="28"/>
        </w:rPr>
        <w:t>事故应急救援预案、设立事故应急救援组织的文件；</w:t>
      </w:r>
    </w:p>
    <w:p w14:paraId="33F5A49F">
      <w:pPr>
        <w:pStyle w:val="21"/>
        <w:numPr>
          <w:ilvl w:val="0"/>
          <w:numId w:val="5"/>
        </w:numPr>
        <w:spacing w:line="460" w:lineRule="exact"/>
        <w:ind w:left="1" w:firstLine="991" w:firstLineChars="354"/>
        <w:rPr>
          <w:rFonts w:hint="eastAsia" w:ascii="仿宋" w:hAnsi="仿宋" w:eastAsia="仿宋" w:cs="仿宋"/>
          <w:sz w:val="28"/>
          <w:szCs w:val="28"/>
        </w:rPr>
      </w:pPr>
      <w:r>
        <w:rPr>
          <w:rFonts w:hint="eastAsia" w:ascii="仿宋" w:hAnsi="仿宋" w:eastAsia="仿宋" w:cs="仿宋"/>
          <w:sz w:val="28"/>
          <w:szCs w:val="28"/>
        </w:rPr>
        <w:t>外协单位在其他单位施工安全绩效证明或甲方安全综合评价；</w:t>
      </w:r>
    </w:p>
    <w:p w14:paraId="5BA165E5">
      <w:pPr>
        <w:pStyle w:val="24"/>
        <w:tabs>
          <w:tab w:val="center" w:pos="4573"/>
        </w:tabs>
        <w:spacing w:line="480" w:lineRule="exact"/>
        <w:ind w:firstLine="0" w:firstLineChars="0"/>
        <w:rPr>
          <w:rFonts w:hint="eastAsia" w:ascii="仿宋" w:hAnsi="仿宋" w:eastAsia="仿宋" w:cs="仿宋"/>
          <w:sz w:val="28"/>
          <w:szCs w:val="28"/>
        </w:rPr>
        <w:sectPr>
          <w:headerReference r:id="rId7" w:type="default"/>
          <w:footerReference r:id="rId8" w:type="default"/>
          <w:pgSz w:w="11906" w:h="16838"/>
          <w:pgMar w:top="1440" w:right="1080" w:bottom="1440" w:left="1080" w:header="851" w:footer="992" w:gutter="0"/>
          <w:cols w:space="720" w:num="1"/>
          <w:docGrid w:type="lines" w:linePitch="312" w:charSpace="0"/>
        </w:sectPr>
      </w:pPr>
      <w:r>
        <w:rPr>
          <w:rFonts w:hint="eastAsia" w:ascii="仿宋" w:hAnsi="仿宋" w:eastAsia="仿宋" w:cs="仿宋"/>
          <w:sz w:val="28"/>
          <w:szCs w:val="28"/>
        </w:rPr>
        <w:t>以上材料装订成册，外协单位盖章，经工程所在单位审核盖章后，报生产安全处备案。</w:t>
      </w:r>
    </w:p>
    <w:p w14:paraId="1C37622E">
      <w:pPr>
        <w:spacing w:line="480" w:lineRule="exact"/>
        <w:rPr>
          <w:rFonts w:hint="eastAsia" w:ascii="宋体" w:hAnsi="宋体" w:eastAsia="宋体" w:cs="Times New Roman"/>
          <w:b/>
          <w:bCs/>
          <w:sz w:val="28"/>
          <w:szCs w:val="28"/>
        </w:rPr>
      </w:pPr>
      <w:r>
        <w:rPr>
          <w:rFonts w:hint="eastAsia" w:ascii="宋体" w:hAnsi="宋体" w:eastAsia="宋体" w:cs="Times New Roman"/>
          <w:b/>
          <w:bCs/>
          <w:sz w:val="28"/>
          <w:szCs w:val="28"/>
        </w:rPr>
        <w:t>附件</w:t>
      </w:r>
      <w:r>
        <w:rPr>
          <w:rFonts w:hint="eastAsia" w:ascii="宋体" w:hAnsi="宋体" w:eastAsia="宋体" w:cs="Times New Roman"/>
          <w:b/>
          <w:bCs/>
          <w:sz w:val="28"/>
          <w:szCs w:val="28"/>
          <w:lang w:val="en-US" w:eastAsia="zh-CN"/>
        </w:rPr>
        <w:t>2</w:t>
      </w:r>
    </w:p>
    <w:p w14:paraId="7FB5E79C">
      <w:pPr>
        <w:spacing w:line="48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潍坊特钢集团有限公司</w:t>
      </w:r>
    </w:p>
    <w:p w14:paraId="52D56DC5">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进厂培训所需资料</w:t>
      </w:r>
    </w:p>
    <w:p w14:paraId="7F466DDA">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按甲方规定外来施工人员需要三级（三天）安全教育培训后方可进入施工现场施工，为不影响外协单位施工工期，请外协单位提前准备以下材料：</w:t>
      </w:r>
    </w:p>
    <w:p w14:paraId="4AF9F6DB">
      <w:pPr>
        <w:pStyle w:val="20"/>
        <w:numPr>
          <w:ilvl w:val="0"/>
          <w:numId w:val="7"/>
        </w:numPr>
        <w:spacing w:line="480" w:lineRule="exact"/>
        <w:ind w:left="0" w:firstLine="574" w:firstLineChars="205"/>
        <w:rPr>
          <w:rFonts w:hint="eastAsia" w:ascii="仿宋" w:hAnsi="仿宋" w:eastAsia="仿宋" w:cs="仿宋"/>
          <w:sz w:val="28"/>
          <w:szCs w:val="28"/>
        </w:rPr>
      </w:pPr>
      <w:r>
        <w:rPr>
          <w:rFonts w:hint="eastAsia" w:ascii="仿宋" w:hAnsi="仿宋" w:eastAsia="仿宋" w:cs="仿宋"/>
          <w:sz w:val="28"/>
          <w:szCs w:val="28"/>
        </w:rPr>
        <w:t>外协单位递交培训申请、证明各一份，申请由外协单位负责人、所承接项目公司（分厂）安全部门和车间负责人三方签字认可并加盖公司公章；</w:t>
      </w:r>
    </w:p>
    <w:p w14:paraId="56167EFC">
      <w:pPr>
        <w:pStyle w:val="20"/>
        <w:numPr>
          <w:ilvl w:val="0"/>
          <w:numId w:val="7"/>
        </w:numPr>
        <w:spacing w:line="480" w:lineRule="exact"/>
        <w:ind w:left="0" w:firstLine="574" w:firstLineChars="205"/>
        <w:rPr>
          <w:rFonts w:hint="eastAsia" w:ascii="仿宋" w:hAnsi="仿宋" w:eastAsia="仿宋" w:cs="仿宋"/>
          <w:sz w:val="28"/>
          <w:szCs w:val="28"/>
        </w:rPr>
      </w:pPr>
      <w:r>
        <w:rPr>
          <w:rFonts w:hint="eastAsia" w:ascii="仿宋" w:hAnsi="仿宋" w:eastAsia="仿宋" w:cs="仿宋"/>
          <w:sz w:val="28"/>
          <w:szCs w:val="28"/>
        </w:rPr>
        <w:t>证明（身份证、特种作业证、体检表、真实有效的保险证明）由外协单位负责人签字盖章；</w:t>
      </w:r>
    </w:p>
    <w:p w14:paraId="50E4EF0C">
      <w:pPr>
        <w:pStyle w:val="20"/>
        <w:numPr>
          <w:ilvl w:val="0"/>
          <w:numId w:val="7"/>
        </w:numPr>
        <w:spacing w:line="480" w:lineRule="exact"/>
        <w:ind w:left="0" w:firstLine="574" w:firstLineChars="205"/>
        <w:rPr>
          <w:rFonts w:hint="eastAsia" w:ascii="仿宋" w:hAnsi="仿宋" w:eastAsia="仿宋" w:cs="仿宋"/>
          <w:sz w:val="28"/>
          <w:szCs w:val="28"/>
        </w:rPr>
      </w:pPr>
      <w:r>
        <w:rPr>
          <w:rFonts w:hint="eastAsia" w:ascii="仿宋" w:hAnsi="仿宋" w:eastAsia="仿宋" w:cs="仿宋"/>
          <w:sz w:val="28"/>
          <w:szCs w:val="28"/>
        </w:rPr>
        <w:t>外协单位提供培训人员意外伤害保险原件，培训人员（个人）保险额度不低于10</w:t>
      </w:r>
      <w:r>
        <w:rPr>
          <w:rFonts w:hint="eastAsia" w:ascii="仿宋" w:hAnsi="仿宋" w:eastAsia="仿宋" w:cs="仿宋"/>
          <w:sz w:val="28"/>
          <w:szCs w:val="28"/>
          <w:lang w:val="en-US" w:eastAsia="zh-CN"/>
        </w:rPr>
        <w:t>0</w:t>
      </w:r>
      <w:r>
        <w:rPr>
          <w:rFonts w:hint="eastAsia" w:ascii="仿宋" w:hAnsi="仿宋" w:eastAsia="仿宋" w:cs="仿宋"/>
          <w:sz w:val="28"/>
          <w:szCs w:val="28"/>
        </w:rPr>
        <w:t>万元；特种作业保险额度由外协单位视实际情况而定；</w:t>
      </w:r>
    </w:p>
    <w:p w14:paraId="45DB5C42">
      <w:pPr>
        <w:pStyle w:val="20"/>
        <w:numPr>
          <w:ilvl w:val="0"/>
          <w:numId w:val="7"/>
        </w:numPr>
        <w:spacing w:line="480" w:lineRule="exact"/>
        <w:ind w:left="0" w:firstLine="574" w:firstLineChars="205"/>
        <w:rPr>
          <w:rFonts w:hint="eastAsia" w:ascii="仿宋" w:hAnsi="仿宋" w:eastAsia="仿宋" w:cs="仿宋"/>
          <w:sz w:val="28"/>
          <w:szCs w:val="28"/>
        </w:rPr>
      </w:pPr>
      <w:r>
        <w:rPr>
          <w:rFonts w:hint="eastAsia" w:ascii="仿宋" w:hAnsi="仿宋" w:eastAsia="仿宋" w:cs="仿宋"/>
          <w:sz w:val="28"/>
          <w:szCs w:val="28"/>
        </w:rPr>
        <w:t>外协单位提供培训人员身份证复印件；</w:t>
      </w:r>
    </w:p>
    <w:p w14:paraId="58094731">
      <w:pPr>
        <w:pStyle w:val="20"/>
        <w:numPr>
          <w:ilvl w:val="0"/>
          <w:numId w:val="7"/>
        </w:numPr>
        <w:spacing w:line="480" w:lineRule="exact"/>
        <w:ind w:left="0" w:firstLine="574" w:firstLineChars="205"/>
        <w:rPr>
          <w:rFonts w:hint="eastAsia" w:ascii="仿宋" w:hAnsi="仿宋" w:eastAsia="仿宋" w:cs="仿宋"/>
          <w:sz w:val="28"/>
          <w:szCs w:val="28"/>
        </w:rPr>
      </w:pPr>
      <w:r>
        <w:rPr>
          <w:rFonts w:hint="eastAsia" w:ascii="仿宋" w:hAnsi="仿宋" w:eastAsia="仿宋" w:cs="仿宋"/>
          <w:sz w:val="28"/>
          <w:szCs w:val="28"/>
        </w:rPr>
        <w:t>外协单位提供培训人员体检表（身体健康证明）；</w:t>
      </w:r>
    </w:p>
    <w:p w14:paraId="2316E377">
      <w:pPr>
        <w:pStyle w:val="20"/>
        <w:numPr>
          <w:ilvl w:val="0"/>
          <w:numId w:val="7"/>
        </w:numPr>
        <w:spacing w:line="480" w:lineRule="exact"/>
        <w:ind w:left="0" w:firstLine="574" w:firstLineChars="205"/>
        <w:rPr>
          <w:rFonts w:hint="eastAsia" w:ascii="仿宋" w:hAnsi="仿宋" w:eastAsia="仿宋" w:cs="仿宋"/>
          <w:sz w:val="28"/>
          <w:szCs w:val="28"/>
        </w:rPr>
      </w:pPr>
      <w:r>
        <w:rPr>
          <w:rFonts w:hint="eastAsia" w:ascii="仿宋" w:hAnsi="仿宋" w:eastAsia="仿宋" w:cs="仿宋"/>
          <w:sz w:val="28"/>
          <w:szCs w:val="28"/>
        </w:rPr>
        <w:t>在所报项目中存在特种施工，外协单位必须提供特殊工种证复印件（如：电气焊证、登高证），如提供假的特殊工种证件（在全国特种证查询网站或发证地查不到的，一律视为假证），按公司规定处理；</w:t>
      </w:r>
    </w:p>
    <w:p w14:paraId="39FF056D">
      <w:pPr>
        <w:pStyle w:val="20"/>
        <w:numPr>
          <w:ilvl w:val="0"/>
          <w:numId w:val="7"/>
        </w:numPr>
        <w:spacing w:line="480" w:lineRule="exact"/>
        <w:ind w:left="0" w:firstLine="574" w:firstLineChars="205"/>
        <w:rPr>
          <w:rFonts w:hint="eastAsia" w:ascii="仿宋" w:hAnsi="仿宋" w:eastAsia="仿宋" w:cs="仿宋"/>
          <w:sz w:val="28"/>
          <w:szCs w:val="28"/>
        </w:rPr>
      </w:pPr>
      <w:r>
        <w:rPr>
          <w:rFonts w:hint="eastAsia" w:ascii="仿宋" w:hAnsi="仿宋" w:eastAsia="仿宋" w:cs="仿宋"/>
          <w:sz w:val="28"/>
          <w:szCs w:val="28"/>
        </w:rPr>
        <w:t>安全试题及签名严禁代答代签，代答代签者按公司规定处理，培训人员要有独立答题能力（不能独立答题人员不予培训）；</w:t>
      </w:r>
    </w:p>
    <w:p w14:paraId="22370A8E">
      <w:pPr>
        <w:pStyle w:val="20"/>
        <w:numPr>
          <w:ilvl w:val="0"/>
          <w:numId w:val="7"/>
        </w:numPr>
        <w:spacing w:line="480" w:lineRule="exact"/>
        <w:ind w:left="0" w:firstLine="574" w:firstLineChars="205"/>
        <w:rPr>
          <w:rFonts w:hint="eastAsia" w:ascii="仿宋" w:hAnsi="仿宋" w:eastAsia="仿宋" w:cs="仿宋"/>
          <w:sz w:val="28"/>
          <w:szCs w:val="28"/>
        </w:rPr>
      </w:pPr>
      <w:r>
        <w:rPr>
          <w:rFonts w:hint="eastAsia" w:ascii="仿宋" w:hAnsi="仿宋" w:eastAsia="仿宋" w:cs="仿宋"/>
          <w:sz w:val="28"/>
          <w:szCs w:val="28"/>
          <w:lang w:eastAsia="zh-CN"/>
        </w:rPr>
        <w:t>外来施工人员需要至少</w:t>
      </w:r>
      <w:r>
        <w:rPr>
          <w:rFonts w:hint="eastAsia" w:ascii="仿宋" w:hAnsi="仿宋" w:eastAsia="仿宋" w:cs="仿宋"/>
          <w:sz w:val="28"/>
          <w:szCs w:val="28"/>
          <w:lang w:val="en-US" w:eastAsia="zh-CN"/>
        </w:rPr>
        <w:t>8小时安全教育培训。</w:t>
      </w:r>
    </w:p>
    <w:p w14:paraId="3853F75F">
      <w:pPr>
        <w:pStyle w:val="20"/>
        <w:spacing w:line="480" w:lineRule="exact"/>
        <w:ind w:firstLine="574" w:firstLineChars="205"/>
        <w:rPr>
          <w:rFonts w:hint="eastAsia" w:ascii="仿宋" w:hAnsi="仿宋" w:eastAsia="仿宋" w:cs="仿宋"/>
          <w:sz w:val="28"/>
          <w:szCs w:val="28"/>
        </w:rPr>
        <w:sectPr>
          <w:pgSz w:w="11906" w:h="16838"/>
          <w:pgMar w:top="1417" w:right="1247" w:bottom="1247" w:left="1474" w:header="851" w:footer="992" w:gutter="0"/>
          <w:pgNumType w:fmt="numberInDash"/>
          <w:cols w:space="720" w:num="1"/>
          <w:docGrid w:type="lines" w:linePitch="312" w:charSpace="0"/>
        </w:sectPr>
      </w:pPr>
      <w:r>
        <w:rPr>
          <w:rFonts w:hint="eastAsia" w:ascii="仿宋" w:hAnsi="仿宋" w:eastAsia="仿宋" w:cs="仿宋"/>
          <w:sz w:val="28"/>
          <w:szCs w:val="28"/>
        </w:rPr>
        <w:t>培训人员年龄：男：55岁以内，女：48岁以内；</w:t>
      </w:r>
    </w:p>
    <w:p w14:paraId="464AD2F9">
      <w:pPr>
        <w:pStyle w:val="20"/>
        <w:spacing w:line="460" w:lineRule="exact"/>
        <w:ind w:firstLine="0" w:firstLineChars="0"/>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附件3</w:t>
      </w:r>
    </w:p>
    <w:p w14:paraId="6CE2798C">
      <w:pPr>
        <w:pStyle w:val="20"/>
        <w:spacing w:line="460" w:lineRule="exact"/>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农民工工资承诺书</w:t>
      </w:r>
    </w:p>
    <w:p w14:paraId="033CE940">
      <w:pPr>
        <w:spacing w:line="400" w:lineRule="exact"/>
        <w:ind w:firstLine="579" w:firstLineChars="207"/>
        <w:rPr>
          <w:rFonts w:hint="eastAsia" w:ascii="仿宋" w:hAnsi="仿宋" w:eastAsia="仿宋" w:cs="仿宋"/>
          <w:color w:val="000000"/>
          <w:sz w:val="28"/>
          <w:szCs w:val="28"/>
        </w:rPr>
      </w:pPr>
      <w:r>
        <w:rPr>
          <w:rFonts w:hint="eastAsia" w:ascii="仿宋" w:hAnsi="仿宋" w:eastAsia="仿宋" w:cs="仿宋"/>
          <w:color w:val="000000"/>
          <w:sz w:val="28"/>
          <w:szCs w:val="28"/>
        </w:rPr>
        <w:t>为进一步完善农民工工资保证金制度，根据《关于全面治理拖欠农民工工资问题的意见》（国办发﹝2016﹞1号）和《关于清理规范工程建设领域保证金的通知》（国办发﹝2016﹞49号），从源头上治理和预防拖欠和克扣农民工工资行为，保障农民工合法权益，维护社会稳定。我公司承诺在潍坊特钢集团有限公司</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项目（合同号：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）施工期间，按下述办法及时交纳农民工工资保证金：</w:t>
      </w:r>
    </w:p>
    <w:p w14:paraId="097AB002">
      <w:pPr>
        <w:numPr>
          <w:ilvl w:val="0"/>
          <w:numId w:val="8"/>
        </w:numPr>
        <w:spacing w:line="400" w:lineRule="exact"/>
        <w:ind w:left="0" w:firstLine="579" w:firstLineChars="207"/>
        <w:rPr>
          <w:rFonts w:hint="eastAsia" w:ascii="仿宋" w:hAnsi="仿宋" w:eastAsia="仿宋" w:cs="仿宋"/>
          <w:sz w:val="28"/>
          <w:szCs w:val="28"/>
        </w:rPr>
      </w:pPr>
      <w:r>
        <w:rPr>
          <w:rFonts w:hint="eastAsia" w:ascii="仿宋" w:hAnsi="仿宋" w:eastAsia="仿宋" w:cs="仿宋"/>
          <w:sz w:val="28"/>
          <w:szCs w:val="28"/>
        </w:rPr>
        <w:t>合同总价在100(不含100万)万元以下的，按合同总价的5%缴纳农民工工资保证金。</w:t>
      </w:r>
    </w:p>
    <w:p w14:paraId="2C18F67C">
      <w:pPr>
        <w:numPr>
          <w:ilvl w:val="0"/>
          <w:numId w:val="8"/>
        </w:numPr>
        <w:spacing w:line="400" w:lineRule="exact"/>
        <w:ind w:left="0" w:firstLine="579" w:firstLineChars="207"/>
        <w:rPr>
          <w:rFonts w:hint="eastAsia" w:ascii="仿宋" w:hAnsi="仿宋" w:eastAsia="仿宋" w:cs="仿宋"/>
          <w:sz w:val="28"/>
          <w:szCs w:val="28"/>
        </w:rPr>
      </w:pPr>
      <w:r>
        <w:rPr>
          <w:rFonts w:hint="eastAsia" w:ascii="仿宋" w:hAnsi="仿宋" w:eastAsia="仿宋" w:cs="仿宋"/>
          <w:sz w:val="28"/>
          <w:szCs w:val="28"/>
        </w:rPr>
        <w:t>合同总价在100万以上至500万元的(含100万元)，按合同总价的4%缴纳农民工工资保证金。</w:t>
      </w:r>
    </w:p>
    <w:p w14:paraId="52641090">
      <w:pPr>
        <w:numPr>
          <w:ilvl w:val="0"/>
          <w:numId w:val="8"/>
        </w:numPr>
        <w:spacing w:line="400" w:lineRule="exact"/>
        <w:ind w:left="0" w:firstLine="579" w:firstLineChars="207"/>
        <w:rPr>
          <w:rFonts w:hint="eastAsia" w:ascii="仿宋" w:hAnsi="仿宋" w:eastAsia="仿宋" w:cs="仿宋"/>
          <w:color w:val="auto"/>
          <w:sz w:val="28"/>
          <w:szCs w:val="28"/>
          <w:highlight w:val="none"/>
        </w:rPr>
      </w:pPr>
      <w:r>
        <w:rPr>
          <w:rFonts w:hint="eastAsia" w:ascii="仿宋" w:hAnsi="仿宋" w:eastAsia="仿宋" w:cs="仿宋"/>
          <w:sz w:val="28"/>
          <w:szCs w:val="28"/>
        </w:rPr>
        <w:t>合同总价在500万元至1000(含500万)万元的，按合同总价的3%缴</w:t>
      </w:r>
      <w:r>
        <w:rPr>
          <w:rFonts w:hint="eastAsia" w:ascii="仿宋" w:hAnsi="仿宋" w:eastAsia="仿宋" w:cs="仿宋"/>
          <w:color w:val="auto"/>
          <w:sz w:val="28"/>
          <w:szCs w:val="28"/>
          <w:highlight w:val="none"/>
        </w:rPr>
        <w:t>纳农民工工资保证金。</w:t>
      </w:r>
    </w:p>
    <w:p w14:paraId="567CB890">
      <w:pPr>
        <w:numPr>
          <w:ilvl w:val="0"/>
          <w:numId w:val="8"/>
        </w:numPr>
        <w:spacing w:line="400" w:lineRule="exact"/>
        <w:ind w:left="0" w:firstLine="579" w:firstLineChars="2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合同总价在1000万元至5000(含1000万)万元的，按合同总价的2%缴纳农民工工资保证金。</w:t>
      </w:r>
    </w:p>
    <w:p w14:paraId="1DBEA508">
      <w:pPr>
        <w:numPr>
          <w:ilvl w:val="0"/>
          <w:numId w:val="8"/>
        </w:numPr>
        <w:spacing w:line="400" w:lineRule="exact"/>
        <w:ind w:left="0" w:firstLine="579" w:firstLineChars="2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合同总价在5000万元以上的(含5000万)，按合同总价的1%缴纳农民工工资保证金。</w:t>
      </w:r>
    </w:p>
    <w:p w14:paraId="63D36A7C">
      <w:pPr>
        <w:numPr>
          <w:ilvl w:val="0"/>
          <w:numId w:val="8"/>
        </w:numPr>
        <w:spacing w:line="400" w:lineRule="exact"/>
        <w:ind w:left="0" w:firstLine="579" w:firstLineChars="2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签定本承诺书3日内，我公司将以现金或银行转账形式将农民工工资保证金交到潍坊特钢集团有限公司财务处。</w:t>
      </w:r>
    </w:p>
    <w:p w14:paraId="7AEED177">
      <w:pPr>
        <w:numPr>
          <w:ilvl w:val="0"/>
          <w:numId w:val="8"/>
        </w:numPr>
        <w:spacing w:line="400" w:lineRule="exact"/>
        <w:ind w:left="0" w:firstLine="579" w:firstLineChars="2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工程竣工验收后，凭《竣工验收报告》、无拖欠农民工工资证明、农民工工资保证金交款证明，到潍坊特钢集团有限公司财务处领取返还农民工工资保证金。</w:t>
      </w:r>
    </w:p>
    <w:p w14:paraId="34F02028">
      <w:pPr>
        <w:spacing w:line="400" w:lineRule="exact"/>
        <w:ind w:firstLine="579" w:firstLineChars="2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无拖欠农民工工资证明包括：工资结清当事人本人签字并按手印的结清收据、工资结清当事人本人出具工资结清收据时的照片和视频、工资结清当事人本人签名的身份证复印件等。</w:t>
      </w:r>
    </w:p>
    <w:p w14:paraId="775945ED">
      <w:pPr>
        <w:spacing w:line="400" w:lineRule="exact"/>
        <w:ind w:firstLine="579" w:firstLineChars="2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如果出现下述情况，我公司承诺，接受潍坊特钢集团有限公司直接动用农民工工资保证金和我公司工程款支付被拖欠工资，并对我公司进行违约金追偿：</w:t>
      </w:r>
    </w:p>
    <w:p w14:paraId="3F0286B9">
      <w:pPr>
        <w:numPr>
          <w:ilvl w:val="0"/>
          <w:numId w:val="9"/>
        </w:numPr>
        <w:spacing w:line="400" w:lineRule="exact"/>
        <w:ind w:left="0" w:firstLine="579" w:firstLineChars="2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我公司未依法及时结算农民工工资，拖欠农民工工资的。</w:t>
      </w:r>
    </w:p>
    <w:p w14:paraId="022A7A12">
      <w:pPr>
        <w:numPr>
          <w:ilvl w:val="0"/>
          <w:numId w:val="9"/>
        </w:numPr>
        <w:spacing w:line="400" w:lineRule="exact"/>
        <w:ind w:left="0" w:firstLine="579" w:firstLineChars="2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我公司非法转包、分包建设工程，导致用工主体不具有法人资格而发生拖欠农民工工资行为的。</w:t>
      </w:r>
    </w:p>
    <w:p w14:paraId="2F683185">
      <w:pPr>
        <w:numPr>
          <w:ilvl w:val="0"/>
          <w:numId w:val="9"/>
        </w:numPr>
        <w:spacing w:line="400" w:lineRule="exact"/>
        <w:ind w:left="0" w:firstLine="579" w:firstLineChars="2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我公司法人代表或工程负责人无法及时联系，造成拖欠农民工工资的。</w:t>
      </w:r>
    </w:p>
    <w:p w14:paraId="53036B66">
      <w:pPr>
        <w:numPr>
          <w:ilvl w:val="0"/>
          <w:numId w:val="9"/>
        </w:numPr>
        <w:spacing w:line="400" w:lineRule="exact"/>
        <w:ind w:left="0" w:firstLine="579" w:firstLineChars="2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我公司工程分包后，劳务分包公司或队伍拖欠农民工工资的。</w:t>
      </w:r>
    </w:p>
    <w:p w14:paraId="6C854C34">
      <w:pPr>
        <w:numPr>
          <w:ilvl w:val="0"/>
          <w:numId w:val="9"/>
        </w:numPr>
        <w:spacing w:line="400" w:lineRule="exact"/>
        <w:ind w:left="0" w:firstLine="579" w:firstLineChars="2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其他被认为拖欠农民工工资的。</w:t>
      </w:r>
    </w:p>
    <w:p w14:paraId="38B774D7">
      <w:pPr>
        <w:spacing w:line="400" w:lineRule="exact"/>
        <w:ind w:firstLine="579" w:firstLineChars="2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我公司（以下简称：乙方）承诺，如果发生上述情况，接受潍坊特钢集团有限公司（以下简称：甲方）以下述规定对我公司进行违约金追偿：</w:t>
      </w:r>
    </w:p>
    <w:p w14:paraId="15591BF3">
      <w:pPr>
        <w:numPr>
          <w:ilvl w:val="0"/>
          <w:numId w:val="10"/>
        </w:numPr>
        <w:spacing w:line="400" w:lineRule="exact"/>
        <w:ind w:left="0" w:firstLine="579" w:firstLineChars="207"/>
        <w:rPr>
          <w:rFonts w:hint="eastAsia" w:ascii="仿宋" w:hAnsi="仿宋" w:eastAsia="仿宋" w:cs="仿宋"/>
          <w:sz w:val="28"/>
          <w:szCs w:val="28"/>
        </w:rPr>
      </w:pPr>
      <w:r>
        <w:rPr>
          <w:rFonts w:hint="eastAsia" w:ascii="仿宋" w:hAnsi="仿宋" w:eastAsia="仿宋" w:cs="仿宋"/>
          <w:sz w:val="28"/>
          <w:szCs w:val="28"/>
        </w:rPr>
        <w:t>农民工以拖欠工资为借口向甲方管理层上访、在甲方厂区内闹事、停工等事件，每发生一次由乙方支付给甲方10万元的违约金，乙方仍应按照甲方规定的时间内解决事件；乙方虽处理事件完毕，但未在甲方规定的时间内解决的，考核乙方拖欠工资金额的2倍；乙方未解决事件，拖欠工资由甲方动用农民工工资保证金和工程款支付的，考核乙方拖欠工资金额的5倍。</w:t>
      </w:r>
    </w:p>
    <w:p w14:paraId="3C1096F4">
      <w:pPr>
        <w:numPr>
          <w:ilvl w:val="0"/>
          <w:numId w:val="10"/>
        </w:numPr>
        <w:spacing w:line="400" w:lineRule="exact"/>
        <w:ind w:left="0" w:firstLine="579" w:firstLineChars="207"/>
        <w:rPr>
          <w:rFonts w:hint="eastAsia" w:ascii="仿宋" w:hAnsi="仿宋" w:eastAsia="仿宋" w:cs="仿宋"/>
          <w:sz w:val="28"/>
          <w:szCs w:val="28"/>
        </w:rPr>
      </w:pPr>
      <w:r>
        <w:rPr>
          <w:rFonts w:hint="eastAsia" w:ascii="仿宋" w:hAnsi="仿宋" w:eastAsia="仿宋" w:cs="仿宋"/>
          <w:sz w:val="28"/>
          <w:szCs w:val="28"/>
        </w:rPr>
        <w:t>农民工以拖欠工资为借口向潍坊市高新区政府上访、投诉，每发生一次由乙方支付给甲方10万元的违约金，乙方仍应按照甲方规定的时间内解决事件；乙方虽处理事件完毕，但未在政府部门规定的时间内解决的，考核乙方拖欠工资金额的5倍；乙方未解决事件，拖欠工资由甲方动用农民工工资保证金和工程款支付的，考核乙方拖欠工资金额的10倍。</w:t>
      </w:r>
    </w:p>
    <w:p w14:paraId="57F34D78">
      <w:pPr>
        <w:numPr>
          <w:ilvl w:val="0"/>
          <w:numId w:val="10"/>
        </w:numPr>
        <w:spacing w:line="400" w:lineRule="exact"/>
        <w:ind w:left="0" w:firstLine="579" w:firstLineChars="207"/>
        <w:rPr>
          <w:rFonts w:hint="eastAsia" w:ascii="仿宋" w:hAnsi="仿宋" w:eastAsia="仿宋" w:cs="仿宋"/>
          <w:sz w:val="28"/>
          <w:szCs w:val="28"/>
        </w:rPr>
      </w:pPr>
      <w:r>
        <w:rPr>
          <w:rFonts w:hint="eastAsia" w:ascii="仿宋" w:hAnsi="仿宋" w:eastAsia="仿宋" w:cs="仿宋"/>
          <w:sz w:val="28"/>
          <w:szCs w:val="28"/>
        </w:rPr>
        <w:t>农民工以拖欠工资为借口向潍坊市政府上访、投诉（包括拔打12345投诉），每发生一次由乙方支付给甲方10万元的违约金，乙方仍应按照甲方规定的时间内解决事件；乙方虽处理事件完毕，但未在政府部门规定的时间内解决的，考核乙方拖欠工资金额的10倍；乙方未解决事件，拖欠工资由甲方运用农民工工资保证金和工程款支付的，考核乙方拖欠工资金额的20倍。</w:t>
      </w:r>
    </w:p>
    <w:p w14:paraId="667C120E">
      <w:pPr>
        <w:numPr>
          <w:ilvl w:val="0"/>
          <w:numId w:val="10"/>
        </w:numPr>
        <w:spacing w:line="400" w:lineRule="exact"/>
        <w:ind w:left="0" w:firstLine="579" w:firstLineChars="207"/>
        <w:rPr>
          <w:rFonts w:hint="eastAsia" w:ascii="仿宋" w:hAnsi="仿宋" w:eastAsia="仿宋" w:cs="仿宋"/>
          <w:sz w:val="28"/>
          <w:szCs w:val="28"/>
        </w:rPr>
      </w:pPr>
      <w:r>
        <w:rPr>
          <w:rFonts w:hint="eastAsia" w:ascii="仿宋" w:hAnsi="仿宋" w:eastAsia="仿宋" w:cs="仿宋"/>
          <w:sz w:val="28"/>
          <w:szCs w:val="28"/>
        </w:rPr>
        <w:t>向省级及以上机关上访，由甲方按不低于市级上访处罚标准，另行研究决定处理意见。</w:t>
      </w:r>
    </w:p>
    <w:p w14:paraId="25C1DC31">
      <w:pPr>
        <w:spacing w:line="400" w:lineRule="exact"/>
        <w:ind w:firstLine="579" w:firstLineChars="207"/>
        <w:rPr>
          <w:rFonts w:hint="eastAsia" w:ascii="仿宋" w:hAnsi="仿宋" w:eastAsia="仿宋" w:cs="仿宋"/>
          <w:sz w:val="28"/>
          <w:szCs w:val="28"/>
        </w:rPr>
      </w:pPr>
      <w:r>
        <w:rPr>
          <w:rFonts w:hint="eastAsia" w:ascii="仿宋" w:hAnsi="仿宋" w:eastAsia="仿宋" w:cs="仿宋"/>
          <w:sz w:val="28"/>
          <w:szCs w:val="28"/>
        </w:rPr>
        <w:t>我公司承诺对于上述规定和处罚没有任何异议，并放弃所有抗辩。</w:t>
      </w:r>
    </w:p>
    <w:p w14:paraId="56742F62">
      <w:pPr>
        <w:spacing w:line="400" w:lineRule="exact"/>
        <w:ind w:firstLine="579" w:firstLineChars="207"/>
        <w:rPr>
          <w:rFonts w:hint="eastAsia" w:ascii="仿宋" w:hAnsi="仿宋" w:eastAsia="仿宋" w:cs="仿宋"/>
          <w:sz w:val="28"/>
          <w:szCs w:val="28"/>
        </w:rPr>
      </w:pPr>
    </w:p>
    <w:p w14:paraId="47DB63FA">
      <w:pPr>
        <w:spacing w:line="400" w:lineRule="exact"/>
        <w:ind w:left="2100" w:leftChars="1000"/>
        <w:rPr>
          <w:rFonts w:hint="eastAsia" w:ascii="仿宋" w:hAnsi="仿宋" w:eastAsia="仿宋" w:cs="仿宋"/>
          <w:sz w:val="28"/>
          <w:szCs w:val="28"/>
        </w:rPr>
      </w:pPr>
      <w:r>
        <w:rPr>
          <w:rFonts w:hint="eastAsia" w:ascii="仿宋" w:hAnsi="仿宋" w:eastAsia="仿宋" w:cs="仿宋"/>
          <w:sz w:val="28"/>
          <w:szCs w:val="28"/>
        </w:rPr>
        <w:t>承诺人（盖章）：</w:t>
      </w:r>
    </w:p>
    <w:p w14:paraId="0CE9EE57">
      <w:pPr>
        <w:spacing w:line="400" w:lineRule="exact"/>
        <w:ind w:left="2100" w:leftChars="1000"/>
        <w:rPr>
          <w:rFonts w:hint="eastAsia" w:ascii="仿宋" w:hAnsi="仿宋" w:eastAsia="仿宋" w:cs="仿宋"/>
          <w:sz w:val="28"/>
          <w:szCs w:val="28"/>
        </w:rPr>
      </w:pPr>
    </w:p>
    <w:p w14:paraId="6F777DAE">
      <w:pPr>
        <w:spacing w:line="400" w:lineRule="exact"/>
        <w:ind w:left="2100" w:leftChars="1000"/>
        <w:rPr>
          <w:rFonts w:hint="eastAsia" w:ascii="仿宋" w:hAnsi="仿宋" w:eastAsia="仿宋" w:cs="仿宋"/>
          <w:sz w:val="28"/>
          <w:szCs w:val="28"/>
        </w:rPr>
      </w:pPr>
      <w:r>
        <w:rPr>
          <w:rFonts w:hint="eastAsia" w:ascii="仿宋" w:hAnsi="仿宋" w:eastAsia="仿宋" w:cs="仿宋"/>
          <w:sz w:val="28"/>
          <w:szCs w:val="28"/>
        </w:rPr>
        <w:t>法人代表或授权委托人（签字）：</w:t>
      </w:r>
    </w:p>
    <w:p w14:paraId="2F119F1E">
      <w:pPr>
        <w:spacing w:line="400" w:lineRule="exact"/>
        <w:ind w:left="2100" w:leftChars="1000"/>
        <w:rPr>
          <w:rFonts w:hint="eastAsia" w:ascii="仿宋" w:hAnsi="仿宋" w:eastAsia="仿宋" w:cs="仿宋"/>
          <w:sz w:val="28"/>
          <w:szCs w:val="28"/>
        </w:rPr>
      </w:pPr>
    </w:p>
    <w:p w14:paraId="1C464B26">
      <w:pPr>
        <w:spacing w:line="400" w:lineRule="exact"/>
        <w:ind w:left="2100" w:leftChars="1000"/>
        <w:rPr>
          <w:rFonts w:hint="eastAsia" w:ascii="仿宋_GB2312" w:hAnsi="宋体" w:eastAsia="仿宋_GB2312"/>
          <w:sz w:val="28"/>
          <w:szCs w:val="28"/>
          <w:lang w:val="en-US" w:eastAsia="zh-CN"/>
        </w:rPr>
      </w:pPr>
      <w:r>
        <w:rPr>
          <w:rFonts w:hint="eastAsia" w:ascii="仿宋" w:hAnsi="仿宋" w:eastAsia="仿宋" w:cs="仿宋"/>
          <w:bCs/>
          <w:sz w:val="28"/>
          <w:szCs w:val="28"/>
        </w:rPr>
        <w:t>日期：     年   月   日</w:t>
      </w:r>
    </w:p>
    <w:p w14:paraId="28383487">
      <w:pPr>
        <w:rPr>
          <w:rFonts w:hint="eastAsia" w:ascii="仿宋" w:hAnsi="仿宋" w:eastAsia="仿宋" w:cs="仿宋"/>
          <w:sz w:val="32"/>
          <w:szCs w:val="32"/>
        </w:rPr>
      </w:pPr>
    </w:p>
    <w:p w14:paraId="205B0B2C">
      <w:pPr>
        <w:rPr>
          <w:rFonts w:hint="eastAsia" w:ascii="仿宋" w:hAnsi="仿宋" w:eastAsia="仿宋" w:cs="仿宋"/>
          <w:sz w:val="32"/>
          <w:szCs w:val="32"/>
        </w:rPr>
      </w:pPr>
    </w:p>
    <w:p w14:paraId="13E357D1">
      <w:pPr>
        <w:pStyle w:val="20"/>
        <w:tabs>
          <w:tab w:val="center" w:pos="4573"/>
        </w:tabs>
        <w:spacing w:line="440" w:lineRule="exact"/>
        <w:ind w:firstLine="0" w:firstLineChars="0"/>
        <w:rPr>
          <w:rFonts w:hint="eastAsia" w:ascii="仿宋" w:hAnsi="仿宋" w:eastAsia="仿宋" w:cs="仿宋"/>
          <w:sz w:val="28"/>
          <w:szCs w:val="28"/>
        </w:rPr>
      </w:pPr>
    </w:p>
    <w:sectPr>
      <w:headerReference r:id="rId9" w:type="default"/>
      <w:footerReference r:id="rId10" w:type="default"/>
      <w:pgSz w:w="11906" w:h="16838"/>
      <w:pgMar w:top="1117" w:right="1117" w:bottom="1117" w:left="11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6F4C8">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44989">
                          <w:pPr>
                            <w:pStyle w:val="8"/>
                            <w:jc w:val="center"/>
                          </w:pPr>
                          <w:r>
                            <w:fldChar w:fldCharType="begin"/>
                          </w:r>
                          <w:r>
                            <w:instrText xml:space="preserve">PAGE   \* MERGEFORMAT</w:instrText>
                          </w:r>
                          <w:r>
                            <w:fldChar w:fldCharType="separate"/>
                          </w:r>
                          <w:r>
                            <w:rPr>
                              <w:lang w:val="zh-CN"/>
                            </w:rPr>
                            <w:t>-</w:t>
                          </w:r>
                          <w:r>
                            <w:t xml:space="preserve">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6E44989">
                    <w:pPr>
                      <w:pStyle w:val="8"/>
                      <w:jc w:val="center"/>
                    </w:pPr>
                    <w:r>
                      <w:fldChar w:fldCharType="begin"/>
                    </w:r>
                    <w:r>
                      <w:instrText xml:space="preserve">PAGE   \* MERGEFORMAT</w:instrText>
                    </w:r>
                    <w:r>
                      <w:fldChar w:fldCharType="separate"/>
                    </w:r>
                    <w:r>
                      <w:rPr>
                        <w:lang w:val="zh-CN"/>
                      </w:rPr>
                      <w:t>-</w:t>
                    </w:r>
                    <w:r>
                      <w:t xml:space="preserve"> 1 -</w:t>
                    </w:r>
                    <w:r>
                      <w:fldChar w:fldCharType="end"/>
                    </w:r>
                  </w:p>
                </w:txbxContent>
              </v:textbox>
            </v:shape>
          </w:pict>
        </mc:Fallback>
      </mc:AlternateContent>
    </w:r>
  </w:p>
  <w:p w14:paraId="00D439A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6F34A">
    <w:pPr>
      <w:pStyle w:val="8"/>
    </w:pPr>
    <w:r>
      <w:rPr>
        <w:lang w:val="zh-CN"/>
      </w:rPr>
      <w:tab/>
    </w:r>
    <w:r>
      <w:rPr>
        <w:rFonts w:hint="eastAsia"/>
        <w:lang w:val="en-US" w:eastAsia="zh-CN"/>
      </w:rPr>
      <w:t xml:space="preserve">                   </w:t>
    </w:r>
    <w:r>
      <w:rPr>
        <w:lang w:val="zh-CN"/>
      </w:rPr>
      <w:t xml:space="preserve"> </w:t>
    </w: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6</w:t>
    </w:r>
    <w:r>
      <w:fldChar w:fldCharType="end"/>
    </w:r>
    <w:r>
      <w:rPr>
        <w:rFonts w:hint="eastAsia"/>
      </w:rPr>
      <w:tab/>
    </w:r>
    <w:r>
      <w:rPr>
        <w:rFonts w:hint="eastAsia"/>
      </w:rPr>
      <w:tab/>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2EFE7">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A6D850">
                          <w:pPr>
                            <w:pStyle w:val="8"/>
                            <w:jc w:val="center"/>
                          </w:pPr>
                          <w:r>
                            <w:fldChar w:fldCharType="begin"/>
                          </w:r>
                          <w:r>
                            <w:instrText xml:space="preserve">PAGE   \* MERGEFORMAT</w:instrText>
                          </w:r>
                          <w:r>
                            <w:fldChar w:fldCharType="separate"/>
                          </w:r>
                          <w:r>
                            <w:rPr>
                              <w:lang w:val="zh-CN"/>
                            </w:rPr>
                            <w:t>-</w:t>
                          </w:r>
                          <w:r>
                            <w:t xml:space="preserve">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26A6D850">
                    <w:pPr>
                      <w:pStyle w:val="8"/>
                      <w:jc w:val="center"/>
                    </w:pPr>
                    <w:r>
                      <w:fldChar w:fldCharType="begin"/>
                    </w:r>
                    <w:r>
                      <w:instrText xml:space="preserve">PAGE   \* MERGEFORMAT</w:instrText>
                    </w:r>
                    <w:r>
                      <w:fldChar w:fldCharType="separate"/>
                    </w:r>
                    <w:r>
                      <w:rPr>
                        <w:lang w:val="zh-CN"/>
                      </w:rPr>
                      <w:t>-</w:t>
                    </w:r>
                    <w:r>
                      <w:t xml:space="preserve"> 1 -</w:t>
                    </w:r>
                    <w:r>
                      <w:fldChar w:fldCharType="end"/>
                    </w:r>
                  </w:p>
                </w:txbxContent>
              </v:textbox>
            </v:shape>
          </w:pict>
        </mc:Fallback>
      </mc:AlternateContent>
    </w:r>
  </w:p>
  <w:p w14:paraId="657257F2">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95BA8">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14:paraId="75EB4A3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D115F">
    <w:pPr>
      <w:pStyle w:val="9"/>
      <w:rPr>
        <w:rFonts w:hint="default" w:eastAsia="宋体"/>
        <w:lang w:val="en-US" w:eastAsia="zh-CN"/>
      </w:rPr>
    </w:pPr>
    <w:r>
      <w:rPr>
        <w:rFonts w:hint="eastAsia"/>
        <w:lang w:val="en-US" w:eastAsia="zh-CN"/>
      </w:rPr>
      <w:t>潍坊特钢集团有限公司路面挖补维修工程技术协议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CB0D7">
    <w:pPr>
      <w:pStyle w:val="9"/>
    </w:pPr>
    <w:r>
      <w:rPr>
        <w:rFonts w:hint="eastAsia"/>
        <w:lang w:eastAsia="zh-CN"/>
      </w:rPr>
      <w:t>潍坊特钢集团有限公司挖补维修技术协议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ED05">
    <w:pPr>
      <w:pStyle w:val="9"/>
      <w:rPr>
        <w:rFonts w:hint="default"/>
        <w:lang w:val="en-US" w:eastAsia="zh-CN"/>
      </w:rPr>
    </w:pPr>
    <w:r>
      <w:rPr>
        <w:rFonts w:hint="eastAsia"/>
        <w:lang w:eastAsia="zh-CN"/>
      </w:rPr>
      <w:t>潍坊特钢集团有限公司挖补维修技术协议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9D3F8">
    <w:pPr>
      <w:pStyle w:val="9"/>
    </w:pPr>
    <w:r>
      <w:rPr>
        <w:rFonts w:hint="eastAsia"/>
        <w:lang w:eastAsia="zh-CN"/>
      </w:rPr>
      <w:t>潍坊特钢集团有限公司挖补维修技术协</w:t>
    </w:r>
    <w:r>
      <w:rPr>
        <w:rFonts w:hint="eastAsia"/>
      </w:rPr>
      <w:t>议</w:t>
    </w:r>
  </w:p>
  <w:p w14:paraId="55D901A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247FB"/>
    <w:multiLevelType w:val="multilevel"/>
    <w:tmpl w:val="A3C247FB"/>
    <w:lvl w:ilvl="0" w:tentative="0">
      <w:start w:val="1"/>
      <w:numFmt w:val="chineseCountingThousand"/>
      <w:lvlText w:val="%1."/>
      <w:lvlJc w:val="left"/>
      <w:pPr>
        <w:ind w:left="425" w:hanging="425"/>
      </w:pPr>
      <w:rPr>
        <w:rFonts w:hint="default"/>
      </w:rPr>
    </w:lvl>
    <w:lvl w:ilvl="1" w:tentative="0">
      <w:start w:val="1"/>
      <w:numFmt w:val="decimal"/>
      <w:lvlText w:val="%2."/>
      <w:lvlJc w:val="left"/>
      <w:pPr>
        <w:ind w:left="862" w:hanging="425"/>
      </w:pPr>
      <w:rPr>
        <w:rFonts w:hint="eastAsia"/>
      </w:rPr>
    </w:lvl>
    <w:lvl w:ilvl="2" w:tentative="0">
      <w:start w:val="1"/>
      <w:numFmt w:val="lowerLetter"/>
      <w:lvlText w:val="%3."/>
      <w:lvlJc w:val="left"/>
      <w:pPr>
        <w:ind w:left="851" w:firstLine="0"/>
      </w:pPr>
      <w:rPr>
        <w:rFonts w:hint="eastAsia"/>
      </w:rPr>
    </w:lvl>
    <w:lvl w:ilvl="3" w:tentative="0">
      <w:start w:val="1"/>
      <w:numFmt w:val="lowerLetter"/>
      <w:lvlText w:val="%4."/>
      <w:lvlJc w:val="left"/>
      <w:pPr>
        <w:ind w:left="851" w:hanging="426"/>
      </w:pPr>
      <w:rPr>
        <w:rFonts w:hint="eastAsia"/>
      </w:rPr>
    </w:lvl>
    <w:lvl w:ilvl="4" w:tentative="0">
      <w:start w:val="1"/>
      <w:numFmt w:val="decimal"/>
      <w:lvlText w:val="%5."/>
      <w:lvlJc w:val="left"/>
      <w:pPr>
        <w:ind w:left="2125" w:hanging="425"/>
      </w:pPr>
      <w:rPr>
        <w:rFonts w:hint="eastAsia"/>
      </w:rPr>
    </w:lvl>
    <w:lvl w:ilvl="5" w:tentative="0">
      <w:start w:val="1"/>
      <w:numFmt w:val="lowerLetter"/>
      <w:lvlText w:val="%6."/>
      <w:lvlJc w:val="left"/>
      <w:pPr>
        <w:ind w:left="2550" w:hanging="425"/>
      </w:pPr>
      <w:rPr>
        <w:rFonts w:hint="eastAsia"/>
      </w:rPr>
    </w:lvl>
    <w:lvl w:ilvl="6" w:tentative="0">
      <w:start w:val="1"/>
      <w:numFmt w:val="lowerRoman"/>
      <w:lvlText w:val="%7."/>
      <w:lvlJc w:val="left"/>
      <w:pPr>
        <w:ind w:left="2975" w:hanging="425"/>
      </w:pPr>
      <w:rPr>
        <w:rFonts w:hint="eastAsia"/>
      </w:rPr>
    </w:lvl>
    <w:lvl w:ilvl="7" w:tentative="0">
      <w:start w:val="1"/>
      <w:numFmt w:val="lowerLetter"/>
      <w:lvlText w:val="%8."/>
      <w:lvlJc w:val="left"/>
      <w:pPr>
        <w:ind w:left="3400" w:hanging="425"/>
      </w:pPr>
      <w:rPr>
        <w:rFonts w:hint="eastAsia"/>
      </w:rPr>
    </w:lvl>
    <w:lvl w:ilvl="8" w:tentative="0">
      <w:start w:val="1"/>
      <w:numFmt w:val="lowerRoman"/>
      <w:lvlText w:val="%9."/>
      <w:lvlJc w:val="left"/>
      <w:pPr>
        <w:ind w:left="3825" w:hanging="425"/>
      </w:pPr>
      <w:rPr>
        <w:rFonts w:hint="eastAsia"/>
      </w:rPr>
    </w:lvl>
  </w:abstractNum>
  <w:abstractNum w:abstractNumId="1">
    <w:nsid w:val="BEF50072"/>
    <w:multiLevelType w:val="multilevel"/>
    <w:tmpl w:val="BEF50072"/>
    <w:lvl w:ilvl="0" w:tentative="0">
      <w:start w:val="1"/>
      <w:numFmt w:val="decimal"/>
      <w:lvlText w:val="%1)"/>
      <w:lvlJc w:val="left"/>
      <w:pPr>
        <w:ind w:left="420" w:hanging="420"/>
      </w:pPr>
      <w:rPr>
        <w:rFonts w:hint="default" w:ascii="Times New Roman" w:hAnsi="Times New Roman" w:cs="Times New Roman"/>
      </w:rPr>
    </w:lvl>
    <w:lvl w:ilvl="1" w:tentative="0">
      <w:start w:val="1"/>
      <w:numFmt w:val="decimal"/>
      <w:lvlText w:val="%2）"/>
      <w:lvlJc w:val="left"/>
      <w:pPr>
        <w:ind w:left="1410" w:hanging="99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F9E99FFF"/>
    <w:multiLevelType w:val="multilevel"/>
    <w:tmpl w:val="F9E99FFF"/>
    <w:lvl w:ilvl="0" w:tentative="0">
      <w:start w:val="1"/>
      <w:numFmt w:val="decimal"/>
      <w:lvlText w:val="%1)"/>
      <w:lvlJc w:val="left"/>
      <w:pPr>
        <w:ind w:left="420" w:hanging="420"/>
      </w:pPr>
      <w:rPr>
        <w:rFonts w:hint="default" w:ascii="Times New Roman" w:hAnsi="Times New Roman" w:cs="Times New Roman"/>
      </w:rPr>
    </w:lvl>
    <w:lvl w:ilvl="1" w:tentative="0">
      <w:start w:val="1"/>
      <w:numFmt w:val="decimal"/>
      <w:lvlText w:val="%2）"/>
      <w:lvlJc w:val="left"/>
      <w:pPr>
        <w:ind w:left="1410" w:hanging="99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09D72517"/>
    <w:multiLevelType w:val="multilevel"/>
    <w:tmpl w:val="09D72517"/>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4">
    <w:nsid w:val="1C58019E"/>
    <w:multiLevelType w:val="multilevel"/>
    <w:tmpl w:val="1C58019E"/>
    <w:lvl w:ilvl="0" w:tentative="0">
      <w:start w:val="1"/>
      <w:numFmt w:val="chineseCountingThousand"/>
      <w:lvlText w:val="%1."/>
      <w:lvlJc w:val="left"/>
      <w:pPr>
        <w:ind w:left="425" w:hanging="425"/>
      </w:pPr>
      <w:rPr>
        <w:rFonts w:hint="default"/>
      </w:rPr>
    </w:lvl>
    <w:lvl w:ilvl="1" w:tentative="0">
      <w:start w:val="1"/>
      <w:numFmt w:val="decimal"/>
      <w:lvlText w:val="%2."/>
      <w:lvlJc w:val="left"/>
      <w:pPr>
        <w:ind w:left="862" w:hanging="425"/>
      </w:pPr>
      <w:rPr>
        <w:rFonts w:hint="eastAsia"/>
      </w:rPr>
    </w:lvl>
    <w:lvl w:ilvl="2" w:tentative="0">
      <w:start w:val="1"/>
      <w:numFmt w:val="lowerLetter"/>
      <w:lvlText w:val="%3."/>
      <w:lvlJc w:val="left"/>
      <w:pPr>
        <w:ind w:left="851" w:firstLine="0"/>
      </w:pPr>
      <w:rPr>
        <w:rFonts w:hint="eastAsia"/>
      </w:rPr>
    </w:lvl>
    <w:lvl w:ilvl="3" w:tentative="0">
      <w:start w:val="1"/>
      <w:numFmt w:val="lowerLetter"/>
      <w:lvlText w:val="%4."/>
      <w:lvlJc w:val="left"/>
      <w:pPr>
        <w:ind w:left="851" w:hanging="426"/>
      </w:pPr>
      <w:rPr>
        <w:rFonts w:hint="eastAsia"/>
      </w:rPr>
    </w:lvl>
    <w:lvl w:ilvl="4" w:tentative="0">
      <w:start w:val="1"/>
      <w:numFmt w:val="decimal"/>
      <w:lvlText w:val="%5."/>
      <w:lvlJc w:val="left"/>
      <w:pPr>
        <w:ind w:left="2125" w:hanging="425"/>
      </w:pPr>
      <w:rPr>
        <w:rFonts w:hint="eastAsia"/>
      </w:rPr>
    </w:lvl>
    <w:lvl w:ilvl="5" w:tentative="0">
      <w:start w:val="1"/>
      <w:numFmt w:val="lowerLetter"/>
      <w:lvlText w:val="%6."/>
      <w:lvlJc w:val="left"/>
      <w:pPr>
        <w:ind w:left="2550" w:hanging="425"/>
      </w:pPr>
      <w:rPr>
        <w:rFonts w:hint="eastAsia"/>
      </w:rPr>
    </w:lvl>
    <w:lvl w:ilvl="6" w:tentative="0">
      <w:start w:val="1"/>
      <w:numFmt w:val="lowerRoman"/>
      <w:lvlText w:val="%7."/>
      <w:lvlJc w:val="left"/>
      <w:pPr>
        <w:ind w:left="2975" w:hanging="425"/>
      </w:pPr>
      <w:rPr>
        <w:rFonts w:hint="eastAsia"/>
      </w:rPr>
    </w:lvl>
    <w:lvl w:ilvl="7" w:tentative="0">
      <w:start w:val="1"/>
      <w:numFmt w:val="lowerLetter"/>
      <w:lvlText w:val="%8."/>
      <w:lvlJc w:val="left"/>
      <w:pPr>
        <w:ind w:left="3400" w:hanging="425"/>
      </w:pPr>
      <w:rPr>
        <w:rFonts w:hint="eastAsia"/>
      </w:rPr>
    </w:lvl>
    <w:lvl w:ilvl="8" w:tentative="0">
      <w:start w:val="1"/>
      <w:numFmt w:val="lowerRoman"/>
      <w:lvlText w:val="%9."/>
      <w:lvlJc w:val="left"/>
      <w:pPr>
        <w:ind w:left="3825" w:hanging="425"/>
      </w:pPr>
      <w:rPr>
        <w:rFonts w:hint="eastAsia"/>
      </w:rPr>
    </w:lvl>
  </w:abstractNum>
  <w:abstractNum w:abstractNumId="5">
    <w:nsid w:val="1F2A77FE"/>
    <w:multiLevelType w:val="multilevel"/>
    <w:tmpl w:val="1F2A77FE"/>
    <w:lvl w:ilvl="0" w:tentative="0">
      <w:start w:val="1"/>
      <w:numFmt w:val="chineseCountingThousand"/>
      <w:lvlText w:val="%1."/>
      <w:lvlJc w:val="left"/>
      <w:pPr>
        <w:ind w:left="425" w:hanging="425"/>
      </w:pPr>
      <w:rPr>
        <w:rFonts w:hint="default"/>
      </w:rPr>
    </w:lvl>
    <w:lvl w:ilvl="1" w:tentative="0">
      <w:start w:val="1"/>
      <w:numFmt w:val="decimal"/>
      <w:lvlText w:val="%2."/>
      <w:lvlJc w:val="left"/>
      <w:pPr>
        <w:ind w:left="862" w:hanging="425"/>
      </w:pPr>
      <w:rPr>
        <w:rFonts w:hint="eastAsia"/>
      </w:rPr>
    </w:lvl>
    <w:lvl w:ilvl="2" w:tentative="0">
      <w:start w:val="1"/>
      <w:numFmt w:val="lowerLetter"/>
      <w:lvlText w:val="%3."/>
      <w:lvlJc w:val="left"/>
      <w:pPr>
        <w:ind w:left="864" w:firstLine="0"/>
      </w:pPr>
      <w:rPr>
        <w:rFonts w:hint="eastAsia"/>
      </w:rPr>
    </w:lvl>
    <w:lvl w:ilvl="3" w:tentative="0">
      <w:start w:val="1"/>
      <w:numFmt w:val="lowerLetter"/>
      <w:lvlText w:val="%4."/>
      <w:lvlJc w:val="left"/>
      <w:pPr>
        <w:ind w:left="851" w:hanging="426"/>
      </w:pPr>
      <w:rPr>
        <w:rFonts w:hint="eastAsia"/>
      </w:rPr>
    </w:lvl>
    <w:lvl w:ilvl="4" w:tentative="0">
      <w:start w:val="1"/>
      <w:numFmt w:val="decimal"/>
      <w:lvlText w:val="%5."/>
      <w:lvlJc w:val="left"/>
      <w:pPr>
        <w:ind w:left="2125" w:hanging="425"/>
      </w:pPr>
      <w:rPr>
        <w:rFonts w:hint="eastAsia"/>
      </w:rPr>
    </w:lvl>
    <w:lvl w:ilvl="5" w:tentative="0">
      <w:start w:val="1"/>
      <w:numFmt w:val="lowerLetter"/>
      <w:lvlText w:val="%6."/>
      <w:lvlJc w:val="left"/>
      <w:pPr>
        <w:ind w:left="2550" w:hanging="425"/>
      </w:pPr>
      <w:rPr>
        <w:rFonts w:hint="eastAsia"/>
      </w:rPr>
    </w:lvl>
    <w:lvl w:ilvl="6" w:tentative="0">
      <w:start w:val="1"/>
      <w:numFmt w:val="lowerRoman"/>
      <w:lvlText w:val="%7."/>
      <w:lvlJc w:val="left"/>
      <w:pPr>
        <w:ind w:left="2975" w:hanging="425"/>
      </w:pPr>
      <w:rPr>
        <w:rFonts w:hint="eastAsia"/>
      </w:rPr>
    </w:lvl>
    <w:lvl w:ilvl="7" w:tentative="0">
      <w:start w:val="1"/>
      <w:numFmt w:val="lowerLetter"/>
      <w:lvlText w:val="%8."/>
      <w:lvlJc w:val="left"/>
      <w:pPr>
        <w:ind w:left="3400" w:hanging="425"/>
      </w:pPr>
      <w:rPr>
        <w:rFonts w:hint="eastAsia"/>
      </w:rPr>
    </w:lvl>
    <w:lvl w:ilvl="8" w:tentative="0">
      <w:start w:val="1"/>
      <w:numFmt w:val="lowerRoman"/>
      <w:lvlText w:val="%9."/>
      <w:lvlJc w:val="left"/>
      <w:pPr>
        <w:ind w:left="3825" w:hanging="425"/>
      </w:pPr>
      <w:rPr>
        <w:rFonts w:hint="eastAsia"/>
      </w:rPr>
    </w:lvl>
  </w:abstractNum>
  <w:abstractNum w:abstractNumId="6">
    <w:nsid w:val="261D6F7C"/>
    <w:multiLevelType w:val="multilevel"/>
    <w:tmpl w:val="261D6F7C"/>
    <w:lvl w:ilvl="0" w:tentative="0">
      <w:start w:val="1"/>
      <w:numFmt w:val="decimal"/>
      <w:lvlText w:val="%1."/>
      <w:lvlJc w:val="right"/>
      <w:pPr>
        <w:ind w:left="421" w:hanging="420"/>
      </w:pPr>
      <w:rPr>
        <w:rFonts w:hint="eastAsia" w:ascii="宋体" w:hAnsi="宋体" w:eastAsia="宋体" w:cs="Times New Roman"/>
      </w:rPr>
    </w:lvl>
    <w:lvl w:ilvl="1" w:tentative="0">
      <w:start w:val="1"/>
      <w:numFmt w:val="lowerLetter"/>
      <w:lvlText w:val="%2)"/>
      <w:lvlJc w:val="left"/>
      <w:pPr>
        <w:ind w:left="841" w:hanging="420"/>
      </w:pPr>
      <w:rPr>
        <w:rFonts w:hint="default" w:ascii="Times New Roman" w:hAnsi="Times New Roman" w:cs="Times New Roman"/>
      </w:rPr>
    </w:lvl>
    <w:lvl w:ilvl="2" w:tentative="0">
      <w:start w:val="1"/>
      <w:numFmt w:val="lowerRoman"/>
      <w:lvlText w:val="%3."/>
      <w:lvlJc w:val="right"/>
      <w:pPr>
        <w:ind w:left="1261" w:hanging="420"/>
      </w:pPr>
      <w:rPr>
        <w:rFonts w:hint="default" w:ascii="Times New Roman" w:hAnsi="Times New Roman" w:cs="Times New Roman"/>
      </w:rPr>
    </w:lvl>
    <w:lvl w:ilvl="3" w:tentative="0">
      <w:start w:val="1"/>
      <w:numFmt w:val="decimal"/>
      <w:lvlText w:val="%4."/>
      <w:lvlJc w:val="left"/>
      <w:pPr>
        <w:ind w:left="1681" w:hanging="420"/>
      </w:pPr>
      <w:rPr>
        <w:rFonts w:hint="default" w:ascii="Times New Roman" w:hAnsi="Times New Roman" w:cs="Times New Roman"/>
      </w:rPr>
    </w:lvl>
    <w:lvl w:ilvl="4" w:tentative="0">
      <w:start w:val="1"/>
      <w:numFmt w:val="lowerLetter"/>
      <w:lvlText w:val="%5)"/>
      <w:lvlJc w:val="left"/>
      <w:pPr>
        <w:ind w:left="2101" w:hanging="420"/>
      </w:pPr>
      <w:rPr>
        <w:rFonts w:hint="default" w:ascii="Times New Roman" w:hAnsi="Times New Roman" w:cs="Times New Roman"/>
      </w:rPr>
    </w:lvl>
    <w:lvl w:ilvl="5" w:tentative="0">
      <w:start w:val="1"/>
      <w:numFmt w:val="lowerRoman"/>
      <w:lvlText w:val="%6."/>
      <w:lvlJc w:val="right"/>
      <w:pPr>
        <w:ind w:left="2521" w:hanging="420"/>
      </w:pPr>
      <w:rPr>
        <w:rFonts w:hint="default" w:ascii="Times New Roman" w:hAnsi="Times New Roman" w:cs="Times New Roman"/>
      </w:rPr>
    </w:lvl>
    <w:lvl w:ilvl="6" w:tentative="0">
      <w:start w:val="1"/>
      <w:numFmt w:val="decimal"/>
      <w:lvlText w:val="%7."/>
      <w:lvlJc w:val="left"/>
      <w:pPr>
        <w:ind w:left="2941" w:hanging="420"/>
      </w:pPr>
      <w:rPr>
        <w:rFonts w:hint="default" w:ascii="Times New Roman" w:hAnsi="Times New Roman" w:cs="Times New Roman"/>
      </w:rPr>
    </w:lvl>
    <w:lvl w:ilvl="7" w:tentative="0">
      <w:start w:val="1"/>
      <w:numFmt w:val="lowerLetter"/>
      <w:lvlText w:val="%8)"/>
      <w:lvlJc w:val="left"/>
      <w:pPr>
        <w:ind w:left="3361" w:hanging="420"/>
      </w:pPr>
      <w:rPr>
        <w:rFonts w:hint="default" w:ascii="Times New Roman" w:hAnsi="Times New Roman" w:cs="Times New Roman"/>
      </w:rPr>
    </w:lvl>
    <w:lvl w:ilvl="8" w:tentative="0">
      <w:start w:val="1"/>
      <w:numFmt w:val="lowerRoman"/>
      <w:lvlText w:val="%9."/>
      <w:lvlJc w:val="right"/>
      <w:pPr>
        <w:ind w:left="3781" w:hanging="420"/>
      </w:pPr>
      <w:rPr>
        <w:rFonts w:hint="default" w:ascii="Times New Roman" w:hAnsi="Times New Roman" w:cs="Times New Roman"/>
      </w:rPr>
    </w:lvl>
  </w:abstractNum>
  <w:abstractNum w:abstractNumId="7">
    <w:nsid w:val="41975F76"/>
    <w:multiLevelType w:val="multilevel"/>
    <w:tmpl w:val="41975F76"/>
    <w:lvl w:ilvl="0" w:tentative="0">
      <w:start w:val="1"/>
      <w:numFmt w:val="chineseCountingThousand"/>
      <w:lvlText w:val="%1."/>
      <w:lvlJc w:val="left"/>
      <w:pPr>
        <w:ind w:left="425" w:hanging="425"/>
      </w:pPr>
      <w:rPr>
        <w:rFonts w:hint="default"/>
      </w:rPr>
    </w:lvl>
    <w:lvl w:ilvl="1" w:tentative="0">
      <w:start w:val="1"/>
      <w:numFmt w:val="decimal"/>
      <w:lvlText w:val="%2."/>
      <w:lvlJc w:val="left"/>
      <w:pPr>
        <w:ind w:left="862" w:hanging="425"/>
      </w:pPr>
      <w:rPr>
        <w:rFonts w:hint="eastAsia"/>
      </w:rPr>
    </w:lvl>
    <w:lvl w:ilvl="2" w:tentative="0">
      <w:start w:val="1"/>
      <w:numFmt w:val="lowerLetter"/>
      <w:lvlText w:val="%3."/>
      <w:lvlJc w:val="left"/>
      <w:pPr>
        <w:ind w:left="864" w:firstLine="0"/>
      </w:pPr>
      <w:rPr>
        <w:rFonts w:hint="eastAsia"/>
      </w:rPr>
    </w:lvl>
    <w:lvl w:ilvl="3" w:tentative="0">
      <w:start w:val="1"/>
      <w:numFmt w:val="lowerLetter"/>
      <w:lvlText w:val="%4."/>
      <w:lvlJc w:val="left"/>
      <w:pPr>
        <w:ind w:left="851" w:hanging="426"/>
      </w:pPr>
      <w:rPr>
        <w:rFonts w:hint="eastAsia"/>
      </w:rPr>
    </w:lvl>
    <w:lvl w:ilvl="4" w:tentative="0">
      <w:start w:val="1"/>
      <w:numFmt w:val="decimal"/>
      <w:lvlText w:val="%5."/>
      <w:lvlJc w:val="left"/>
      <w:pPr>
        <w:ind w:left="2125" w:hanging="425"/>
      </w:pPr>
      <w:rPr>
        <w:rFonts w:hint="eastAsia"/>
      </w:rPr>
    </w:lvl>
    <w:lvl w:ilvl="5" w:tentative="0">
      <w:start w:val="1"/>
      <w:numFmt w:val="lowerLetter"/>
      <w:lvlText w:val="%6."/>
      <w:lvlJc w:val="left"/>
      <w:pPr>
        <w:ind w:left="2550" w:hanging="425"/>
      </w:pPr>
      <w:rPr>
        <w:rFonts w:hint="eastAsia"/>
      </w:rPr>
    </w:lvl>
    <w:lvl w:ilvl="6" w:tentative="0">
      <w:start w:val="1"/>
      <w:numFmt w:val="lowerRoman"/>
      <w:lvlText w:val="%7."/>
      <w:lvlJc w:val="left"/>
      <w:pPr>
        <w:ind w:left="2975" w:hanging="425"/>
      </w:pPr>
      <w:rPr>
        <w:rFonts w:hint="eastAsia"/>
      </w:rPr>
    </w:lvl>
    <w:lvl w:ilvl="7" w:tentative="0">
      <w:start w:val="1"/>
      <w:numFmt w:val="lowerLetter"/>
      <w:lvlText w:val="%8."/>
      <w:lvlJc w:val="left"/>
      <w:pPr>
        <w:ind w:left="3400" w:hanging="425"/>
      </w:pPr>
      <w:rPr>
        <w:rFonts w:hint="eastAsia"/>
      </w:rPr>
    </w:lvl>
    <w:lvl w:ilvl="8" w:tentative="0">
      <w:start w:val="1"/>
      <w:numFmt w:val="lowerRoman"/>
      <w:lvlText w:val="%9."/>
      <w:lvlJc w:val="left"/>
      <w:pPr>
        <w:ind w:left="3825" w:hanging="425"/>
      </w:pPr>
      <w:rPr>
        <w:rFonts w:hint="eastAsia"/>
      </w:rPr>
    </w:lvl>
  </w:abstractNum>
  <w:abstractNum w:abstractNumId="8">
    <w:nsid w:val="573E1EE8"/>
    <w:multiLevelType w:val="multilevel"/>
    <w:tmpl w:val="573E1EE8"/>
    <w:lvl w:ilvl="0" w:tentative="0">
      <w:start w:val="1"/>
      <w:numFmt w:val="decimal"/>
      <w:lvlText w:val="%1)"/>
      <w:lvlJc w:val="left"/>
      <w:pPr>
        <w:ind w:left="420" w:hanging="420"/>
      </w:pPr>
      <w:rPr>
        <w:rFonts w:hint="default" w:ascii="Times New Roman" w:hAnsi="Times New Roman" w:cs="Times New Roman"/>
      </w:rPr>
    </w:lvl>
    <w:lvl w:ilvl="1" w:tentative="0">
      <w:start w:val="1"/>
      <w:numFmt w:val="decimal"/>
      <w:lvlText w:val="%2）"/>
      <w:lvlJc w:val="left"/>
      <w:pPr>
        <w:ind w:left="1410" w:hanging="99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4"/>
  </w:num>
  <w:num w:numId="2">
    <w:abstractNumId w:val="0"/>
  </w:num>
  <w:num w:numId="3">
    <w:abstractNumId w:val="5"/>
  </w:num>
  <w:num w:numId="4">
    <w:abstractNumId w:val="7"/>
  </w:num>
  <w:num w:numId="5">
    <w:abstractNumId w:val="6"/>
    <w:lvlOverride w:ilvl="0">
      <w:startOverride w:val="1"/>
    </w:lvlOverride>
  </w:num>
  <w:num w:numId="6">
    <w:abstractNumId w:val="8"/>
    <w:lvlOverride w:ilvl="0">
      <w:startOverride w:val="1"/>
    </w:lvlOverride>
  </w:num>
  <w:num w:numId="7">
    <w:abstractNumId w:val="3"/>
  </w:num>
  <w:num w:numId="8">
    <w:abstractNumId w:val="8"/>
    <w:lvlOverride w:ilvl="0">
      <w:startOverride w:val="1"/>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NzgxMGFjMTdhN2QxMDFkZTU2ZTQwNWM4ZmRmOGQifQ=="/>
  </w:docVars>
  <w:rsids>
    <w:rsidRoot w:val="00FD4BEB"/>
    <w:rsid w:val="0000796F"/>
    <w:rsid w:val="0002159E"/>
    <w:rsid w:val="00033680"/>
    <w:rsid w:val="00045009"/>
    <w:rsid w:val="00062A1A"/>
    <w:rsid w:val="00070EFB"/>
    <w:rsid w:val="00081EB8"/>
    <w:rsid w:val="000949CD"/>
    <w:rsid w:val="000A0075"/>
    <w:rsid w:val="000A09B2"/>
    <w:rsid w:val="000A36F4"/>
    <w:rsid w:val="000B029D"/>
    <w:rsid w:val="000B3FFC"/>
    <w:rsid w:val="000C48B6"/>
    <w:rsid w:val="000C5BC8"/>
    <w:rsid w:val="000D0BF6"/>
    <w:rsid w:val="000D77B4"/>
    <w:rsid w:val="000E7EC9"/>
    <w:rsid w:val="0011110C"/>
    <w:rsid w:val="00111D85"/>
    <w:rsid w:val="0011242E"/>
    <w:rsid w:val="0011284B"/>
    <w:rsid w:val="001129DE"/>
    <w:rsid w:val="00112AF9"/>
    <w:rsid w:val="00115C7D"/>
    <w:rsid w:val="0012068B"/>
    <w:rsid w:val="0012136D"/>
    <w:rsid w:val="00130DE5"/>
    <w:rsid w:val="0013408D"/>
    <w:rsid w:val="001373E9"/>
    <w:rsid w:val="00150A67"/>
    <w:rsid w:val="00161DE8"/>
    <w:rsid w:val="00166E31"/>
    <w:rsid w:val="00173C69"/>
    <w:rsid w:val="00184674"/>
    <w:rsid w:val="00184F46"/>
    <w:rsid w:val="001905FE"/>
    <w:rsid w:val="00193D70"/>
    <w:rsid w:val="001A6869"/>
    <w:rsid w:val="001B2E98"/>
    <w:rsid w:val="001B3A3A"/>
    <w:rsid w:val="001C3C12"/>
    <w:rsid w:val="001C4554"/>
    <w:rsid w:val="001D1132"/>
    <w:rsid w:val="001D24D7"/>
    <w:rsid w:val="001D5462"/>
    <w:rsid w:val="001D6423"/>
    <w:rsid w:val="001E0BE0"/>
    <w:rsid w:val="001F03C9"/>
    <w:rsid w:val="00201C42"/>
    <w:rsid w:val="00206DB9"/>
    <w:rsid w:val="00217591"/>
    <w:rsid w:val="00222BF8"/>
    <w:rsid w:val="00225BCD"/>
    <w:rsid w:val="00251A89"/>
    <w:rsid w:val="00251F72"/>
    <w:rsid w:val="00257413"/>
    <w:rsid w:val="00257D30"/>
    <w:rsid w:val="00261B73"/>
    <w:rsid w:val="00267FAB"/>
    <w:rsid w:val="00275610"/>
    <w:rsid w:val="00282D49"/>
    <w:rsid w:val="00285D5B"/>
    <w:rsid w:val="00290BCD"/>
    <w:rsid w:val="0029285B"/>
    <w:rsid w:val="002966D9"/>
    <w:rsid w:val="00297667"/>
    <w:rsid w:val="002A43F6"/>
    <w:rsid w:val="002A6FD3"/>
    <w:rsid w:val="002B1575"/>
    <w:rsid w:val="002B31A9"/>
    <w:rsid w:val="002B383C"/>
    <w:rsid w:val="002B5D5B"/>
    <w:rsid w:val="002C682C"/>
    <w:rsid w:val="002D3C6C"/>
    <w:rsid w:val="002D6B49"/>
    <w:rsid w:val="002E4B27"/>
    <w:rsid w:val="0030333C"/>
    <w:rsid w:val="00304054"/>
    <w:rsid w:val="00310354"/>
    <w:rsid w:val="00313A7C"/>
    <w:rsid w:val="0032254C"/>
    <w:rsid w:val="00322AAE"/>
    <w:rsid w:val="003244DB"/>
    <w:rsid w:val="003255BD"/>
    <w:rsid w:val="003346EE"/>
    <w:rsid w:val="00337606"/>
    <w:rsid w:val="00340B66"/>
    <w:rsid w:val="00342B29"/>
    <w:rsid w:val="00345312"/>
    <w:rsid w:val="00347D56"/>
    <w:rsid w:val="00362075"/>
    <w:rsid w:val="003632C0"/>
    <w:rsid w:val="003648DD"/>
    <w:rsid w:val="00370089"/>
    <w:rsid w:val="003736A4"/>
    <w:rsid w:val="00375685"/>
    <w:rsid w:val="00383575"/>
    <w:rsid w:val="00387DAB"/>
    <w:rsid w:val="0039185C"/>
    <w:rsid w:val="00395F53"/>
    <w:rsid w:val="003B51B7"/>
    <w:rsid w:val="003D6496"/>
    <w:rsid w:val="003E5906"/>
    <w:rsid w:val="003E75C4"/>
    <w:rsid w:val="003F4014"/>
    <w:rsid w:val="00407D54"/>
    <w:rsid w:val="0041540E"/>
    <w:rsid w:val="00417271"/>
    <w:rsid w:val="00420A8A"/>
    <w:rsid w:val="00420B91"/>
    <w:rsid w:val="0042500B"/>
    <w:rsid w:val="00431639"/>
    <w:rsid w:val="00435A42"/>
    <w:rsid w:val="0043691F"/>
    <w:rsid w:val="0044417D"/>
    <w:rsid w:val="00446794"/>
    <w:rsid w:val="00452734"/>
    <w:rsid w:val="00456EA9"/>
    <w:rsid w:val="004573B3"/>
    <w:rsid w:val="0046145C"/>
    <w:rsid w:val="00483517"/>
    <w:rsid w:val="00485A73"/>
    <w:rsid w:val="00492E30"/>
    <w:rsid w:val="00495938"/>
    <w:rsid w:val="00497B3C"/>
    <w:rsid w:val="004A03D6"/>
    <w:rsid w:val="004B0E69"/>
    <w:rsid w:val="004D4C06"/>
    <w:rsid w:val="004D631B"/>
    <w:rsid w:val="004E0CA4"/>
    <w:rsid w:val="005131CE"/>
    <w:rsid w:val="005212BE"/>
    <w:rsid w:val="00523524"/>
    <w:rsid w:val="005277F4"/>
    <w:rsid w:val="00534BE6"/>
    <w:rsid w:val="005418D6"/>
    <w:rsid w:val="005420B5"/>
    <w:rsid w:val="00546F51"/>
    <w:rsid w:val="005605EA"/>
    <w:rsid w:val="00567919"/>
    <w:rsid w:val="00582E23"/>
    <w:rsid w:val="005901D9"/>
    <w:rsid w:val="00597D05"/>
    <w:rsid w:val="005A0499"/>
    <w:rsid w:val="005A21E3"/>
    <w:rsid w:val="005D0017"/>
    <w:rsid w:val="005E37FA"/>
    <w:rsid w:val="005E652E"/>
    <w:rsid w:val="0060555A"/>
    <w:rsid w:val="00610321"/>
    <w:rsid w:val="006122DD"/>
    <w:rsid w:val="00624C71"/>
    <w:rsid w:val="00624D56"/>
    <w:rsid w:val="0064073E"/>
    <w:rsid w:val="00642D42"/>
    <w:rsid w:val="00646052"/>
    <w:rsid w:val="00665FA7"/>
    <w:rsid w:val="0066790C"/>
    <w:rsid w:val="00671CE1"/>
    <w:rsid w:val="00675872"/>
    <w:rsid w:val="00680A0B"/>
    <w:rsid w:val="00681150"/>
    <w:rsid w:val="00682EC7"/>
    <w:rsid w:val="0068368A"/>
    <w:rsid w:val="006867BB"/>
    <w:rsid w:val="00691977"/>
    <w:rsid w:val="006B5AC2"/>
    <w:rsid w:val="006B6F5E"/>
    <w:rsid w:val="006C32AE"/>
    <w:rsid w:val="006C32F6"/>
    <w:rsid w:val="006C585A"/>
    <w:rsid w:val="006C6CAC"/>
    <w:rsid w:val="006D5AC1"/>
    <w:rsid w:val="006D77D2"/>
    <w:rsid w:val="007012E7"/>
    <w:rsid w:val="00715FAC"/>
    <w:rsid w:val="00717FA6"/>
    <w:rsid w:val="00731B8D"/>
    <w:rsid w:val="00734E86"/>
    <w:rsid w:val="00745171"/>
    <w:rsid w:val="00774ECF"/>
    <w:rsid w:val="0078328F"/>
    <w:rsid w:val="007A5896"/>
    <w:rsid w:val="007A6F8A"/>
    <w:rsid w:val="007B2273"/>
    <w:rsid w:val="007D778E"/>
    <w:rsid w:val="007E0E74"/>
    <w:rsid w:val="007E0F41"/>
    <w:rsid w:val="007E18A6"/>
    <w:rsid w:val="007E470F"/>
    <w:rsid w:val="007E7A30"/>
    <w:rsid w:val="007F5EB0"/>
    <w:rsid w:val="007F71AC"/>
    <w:rsid w:val="008051B8"/>
    <w:rsid w:val="008168E6"/>
    <w:rsid w:val="00821328"/>
    <w:rsid w:val="0084367D"/>
    <w:rsid w:val="0085469C"/>
    <w:rsid w:val="0085482A"/>
    <w:rsid w:val="008661D5"/>
    <w:rsid w:val="00875E4C"/>
    <w:rsid w:val="008852AE"/>
    <w:rsid w:val="00893AC4"/>
    <w:rsid w:val="008A23FD"/>
    <w:rsid w:val="008A4EDB"/>
    <w:rsid w:val="008B137E"/>
    <w:rsid w:val="008B3500"/>
    <w:rsid w:val="008C0DF4"/>
    <w:rsid w:val="008C54A0"/>
    <w:rsid w:val="008D3EDB"/>
    <w:rsid w:val="008E0488"/>
    <w:rsid w:val="008E21A7"/>
    <w:rsid w:val="008F3DFE"/>
    <w:rsid w:val="008F44E8"/>
    <w:rsid w:val="00904E01"/>
    <w:rsid w:val="00907954"/>
    <w:rsid w:val="009303C5"/>
    <w:rsid w:val="00943FB1"/>
    <w:rsid w:val="00967F68"/>
    <w:rsid w:val="00972333"/>
    <w:rsid w:val="009741EB"/>
    <w:rsid w:val="00974564"/>
    <w:rsid w:val="0097501E"/>
    <w:rsid w:val="00981BFB"/>
    <w:rsid w:val="00991D49"/>
    <w:rsid w:val="009A2573"/>
    <w:rsid w:val="009B45D3"/>
    <w:rsid w:val="009B6857"/>
    <w:rsid w:val="009C1C03"/>
    <w:rsid w:val="009D02A7"/>
    <w:rsid w:val="009D0C05"/>
    <w:rsid w:val="009D2D4D"/>
    <w:rsid w:val="009E417A"/>
    <w:rsid w:val="009E72C8"/>
    <w:rsid w:val="009E7E4A"/>
    <w:rsid w:val="00A019B4"/>
    <w:rsid w:val="00A113E5"/>
    <w:rsid w:val="00A11DF1"/>
    <w:rsid w:val="00A270D1"/>
    <w:rsid w:val="00A3167E"/>
    <w:rsid w:val="00A316F8"/>
    <w:rsid w:val="00A327F6"/>
    <w:rsid w:val="00A40673"/>
    <w:rsid w:val="00A471C7"/>
    <w:rsid w:val="00A57A68"/>
    <w:rsid w:val="00A66A84"/>
    <w:rsid w:val="00A8144D"/>
    <w:rsid w:val="00A849E2"/>
    <w:rsid w:val="00A856AA"/>
    <w:rsid w:val="00A86CD3"/>
    <w:rsid w:val="00A92318"/>
    <w:rsid w:val="00AA0D6F"/>
    <w:rsid w:val="00AB7C06"/>
    <w:rsid w:val="00AD41F6"/>
    <w:rsid w:val="00AE2D97"/>
    <w:rsid w:val="00B0492D"/>
    <w:rsid w:val="00B066D2"/>
    <w:rsid w:val="00B0761D"/>
    <w:rsid w:val="00B10544"/>
    <w:rsid w:val="00B20F40"/>
    <w:rsid w:val="00B217F6"/>
    <w:rsid w:val="00B303E2"/>
    <w:rsid w:val="00B40269"/>
    <w:rsid w:val="00B609D2"/>
    <w:rsid w:val="00B70F7A"/>
    <w:rsid w:val="00B7533E"/>
    <w:rsid w:val="00B85D66"/>
    <w:rsid w:val="00B87C5C"/>
    <w:rsid w:val="00B93DE1"/>
    <w:rsid w:val="00B93E54"/>
    <w:rsid w:val="00BB0D56"/>
    <w:rsid w:val="00BB1032"/>
    <w:rsid w:val="00BB18EF"/>
    <w:rsid w:val="00BC3505"/>
    <w:rsid w:val="00BD1F6D"/>
    <w:rsid w:val="00BD50A2"/>
    <w:rsid w:val="00BD5482"/>
    <w:rsid w:val="00BF5B4A"/>
    <w:rsid w:val="00C033DE"/>
    <w:rsid w:val="00C070A7"/>
    <w:rsid w:val="00C17813"/>
    <w:rsid w:val="00C20A56"/>
    <w:rsid w:val="00C212FE"/>
    <w:rsid w:val="00C228A5"/>
    <w:rsid w:val="00C275CC"/>
    <w:rsid w:val="00C32C6A"/>
    <w:rsid w:val="00C33120"/>
    <w:rsid w:val="00C347C8"/>
    <w:rsid w:val="00C54AB7"/>
    <w:rsid w:val="00C569FE"/>
    <w:rsid w:val="00C56F09"/>
    <w:rsid w:val="00C6047B"/>
    <w:rsid w:val="00C64820"/>
    <w:rsid w:val="00C676A5"/>
    <w:rsid w:val="00C76E73"/>
    <w:rsid w:val="00C8546A"/>
    <w:rsid w:val="00C96D8F"/>
    <w:rsid w:val="00C974EF"/>
    <w:rsid w:val="00CB0C0D"/>
    <w:rsid w:val="00CB1BB1"/>
    <w:rsid w:val="00CB4E08"/>
    <w:rsid w:val="00CE15C5"/>
    <w:rsid w:val="00CE24D1"/>
    <w:rsid w:val="00CE6F55"/>
    <w:rsid w:val="00CF1360"/>
    <w:rsid w:val="00D03D8E"/>
    <w:rsid w:val="00D05D00"/>
    <w:rsid w:val="00D22CD4"/>
    <w:rsid w:val="00D33E71"/>
    <w:rsid w:val="00D33FE9"/>
    <w:rsid w:val="00D37DC9"/>
    <w:rsid w:val="00D528D9"/>
    <w:rsid w:val="00D57694"/>
    <w:rsid w:val="00D630B8"/>
    <w:rsid w:val="00D71C6E"/>
    <w:rsid w:val="00D864D9"/>
    <w:rsid w:val="00D90F83"/>
    <w:rsid w:val="00DA1A85"/>
    <w:rsid w:val="00DB2139"/>
    <w:rsid w:val="00DB3AC6"/>
    <w:rsid w:val="00DB4AAE"/>
    <w:rsid w:val="00DC0B9B"/>
    <w:rsid w:val="00DD2E61"/>
    <w:rsid w:val="00DE4DDD"/>
    <w:rsid w:val="00DF5999"/>
    <w:rsid w:val="00E05E85"/>
    <w:rsid w:val="00E15625"/>
    <w:rsid w:val="00E24D18"/>
    <w:rsid w:val="00E24DF6"/>
    <w:rsid w:val="00E35CC0"/>
    <w:rsid w:val="00E40669"/>
    <w:rsid w:val="00E42E9B"/>
    <w:rsid w:val="00E51146"/>
    <w:rsid w:val="00E52A20"/>
    <w:rsid w:val="00E54B35"/>
    <w:rsid w:val="00E7325C"/>
    <w:rsid w:val="00E800D2"/>
    <w:rsid w:val="00E84B73"/>
    <w:rsid w:val="00E86423"/>
    <w:rsid w:val="00EA3215"/>
    <w:rsid w:val="00EC3F09"/>
    <w:rsid w:val="00EE731D"/>
    <w:rsid w:val="00EF2BD5"/>
    <w:rsid w:val="00EF63CA"/>
    <w:rsid w:val="00F021F0"/>
    <w:rsid w:val="00F02864"/>
    <w:rsid w:val="00F05417"/>
    <w:rsid w:val="00F134FF"/>
    <w:rsid w:val="00F15795"/>
    <w:rsid w:val="00F31910"/>
    <w:rsid w:val="00F43DF7"/>
    <w:rsid w:val="00F44FFC"/>
    <w:rsid w:val="00F47D58"/>
    <w:rsid w:val="00F50897"/>
    <w:rsid w:val="00F62643"/>
    <w:rsid w:val="00F628D8"/>
    <w:rsid w:val="00F64508"/>
    <w:rsid w:val="00F64EC2"/>
    <w:rsid w:val="00F67B85"/>
    <w:rsid w:val="00F7229B"/>
    <w:rsid w:val="00F8451D"/>
    <w:rsid w:val="00F94178"/>
    <w:rsid w:val="00FB0F72"/>
    <w:rsid w:val="00FB7FBD"/>
    <w:rsid w:val="00FC48B2"/>
    <w:rsid w:val="00FC6DE1"/>
    <w:rsid w:val="00FD4BEB"/>
    <w:rsid w:val="00FE277D"/>
    <w:rsid w:val="00FF5C4C"/>
    <w:rsid w:val="018D1F00"/>
    <w:rsid w:val="01AE3AC8"/>
    <w:rsid w:val="01FB6C4B"/>
    <w:rsid w:val="021B244E"/>
    <w:rsid w:val="022E739A"/>
    <w:rsid w:val="026C4A8A"/>
    <w:rsid w:val="02FC7B92"/>
    <w:rsid w:val="040155CE"/>
    <w:rsid w:val="043D2DDE"/>
    <w:rsid w:val="046E3D45"/>
    <w:rsid w:val="0526515D"/>
    <w:rsid w:val="05365E4B"/>
    <w:rsid w:val="05EA2DDC"/>
    <w:rsid w:val="06060E43"/>
    <w:rsid w:val="06905A1E"/>
    <w:rsid w:val="073A7CB0"/>
    <w:rsid w:val="08B965D1"/>
    <w:rsid w:val="0A0A04AD"/>
    <w:rsid w:val="0A291F5B"/>
    <w:rsid w:val="0A7F0F18"/>
    <w:rsid w:val="0B1E022D"/>
    <w:rsid w:val="0CF24C8B"/>
    <w:rsid w:val="0D4C7702"/>
    <w:rsid w:val="0D6D3D8B"/>
    <w:rsid w:val="0F273688"/>
    <w:rsid w:val="0F5C0066"/>
    <w:rsid w:val="0F6B7C16"/>
    <w:rsid w:val="0FAA584D"/>
    <w:rsid w:val="100B64AE"/>
    <w:rsid w:val="10AB3454"/>
    <w:rsid w:val="10FD0614"/>
    <w:rsid w:val="11446E22"/>
    <w:rsid w:val="116557F0"/>
    <w:rsid w:val="11C70D2B"/>
    <w:rsid w:val="125A0545"/>
    <w:rsid w:val="12E24F63"/>
    <w:rsid w:val="13D671B7"/>
    <w:rsid w:val="140B784C"/>
    <w:rsid w:val="15073CB9"/>
    <w:rsid w:val="16395CC5"/>
    <w:rsid w:val="166E7112"/>
    <w:rsid w:val="16EF0441"/>
    <w:rsid w:val="171F13BB"/>
    <w:rsid w:val="175F77B0"/>
    <w:rsid w:val="17916474"/>
    <w:rsid w:val="1865096D"/>
    <w:rsid w:val="186D4E5D"/>
    <w:rsid w:val="19806A52"/>
    <w:rsid w:val="19D674A8"/>
    <w:rsid w:val="1A0C5354"/>
    <w:rsid w:val="1B30707C"/>
    <w:rsid w:val="1B7B0307"/>
    <w:rsid w:val="1C085DE2"/>
    <w:rsid w:val="1C225D1E"/>
    <w:rsid w:val="1C295FB5"/>
    <w:rsid w:val="1C857D2E"/>
    <w:rsid w:val="1C9B2D12"/>
    <w:rsid w:val="1CC45B09"/>
    <w:rsid w:val="1D6F75F2"/>
    <w:rsid w:val="1DAC677E"/>
    <w:rsid w:val="1DBF0898"/>
    <w:rsid w:val="1E1C2F98"/>
    <w:rsid w:val="1E766231"/>
    <w:rsid w:val="1F5E7017"/>
    <w:rsid w:val="1FCA53B9"/>
    <w:rsid w:val="20243BCC"/>
    <w:rsid w:val="202F7AB8"/>
    <w:rsid w:val="20384A18"/>
    <w:rsid w:val="20507D54"/>
    <w:rsid w:val="20882FA7"/>
    <w:rsid w:val="210A0D90"/>
    <w:rsid w:val="224C4BD3"/>
    <w:rsid w:val="236B306C"/>
    <w:rsid w:val="23BB16AA"/>
    <w:rsid w:val="23D56F04"/>
    <w:rsid w:val="23E210A2"/>
    <w:rsid w:val="248C7429"/>
    <w:rsid w:val="24937F7C"/>
    <w:rsid w:val="24B71C84"/>
    <w:rsid w:val="24EC6199"/>
    <w:rsid w:val="24F10263"/>
    <w:rsid w:val="25166AF8"/>
    <w:rsid w:val="255E50EA"/>
    <w:rsid w:val="260B0D4E"/>
    <w:rsid w:val="266407E2"/>
    <w:rsid w:val="26BC3E06"/>
    <w:rsid w:val="272C0CD9"/>
    <w:rsid w:val="27531D2E"/>
    <w:rsid w:val="27740C30"/>
    <w:rsid w:val="287C7332"/>
    <w:rsid w:val="288D6E73"/>
    <w:rsid w:val="291073AD"/>
    <w:rsid w:val="29385542"/>
    <w:rsid w:val="29F329DE"/>
    <w:rsid w:val="29F72313"/>
    <w:rsid w:val="2A0268CC"/>
    <w:rsid w:val="2A13267D"/>
    <w:rsid w:val="2A1E1408"/>
    <w:rsid w:val="2A31488C"/>
    <w:rsid w:val="2A425D17"/>
    <w:rsid w:val="2AB469C0"/>
    <w:rsid w:val="2AE74287"/>
    <w:rsid w:val="2B7C1533"/>
    <w:rsid w:val="2B806ABA"/>
    <w:rsid w:val="2B8D3AC2"/>
    <w:rsid w:val="2C0D397B"/>
    <w:rsid w:val="2C2005C5"/>
    <w:rsid w:val="2D311273"/>
    <w:rsid w:val="2DF5651E"/>
    <w:rsid w:val="2E670050"/>
    <w:rsid w:val="2E705C0A"/>
    <w:rsid w:val="2F9639E2"/>
    <w:rsid w:val="2FE441B8"/>
    <w:rsid w:val="31984BC6"/>
    <w:rsid w:val="31A036FD"/>
    <w:rsid w:val="31E54E8C"/>
    <w:rsid w:val="320836B5"/>
    <w:rsid w:val="32117FC2"/>
    <w:rsid w:val="32306382"/>
    <w:rsid w:val="32430E61"/>
    <w:rsid w:val="32820FB1"/>
    <w:rsid w:val="32A72920"/>
    <w:rsid w:val="32B022D7"/>
    <w:rsid w:val="32E26A66"/>
    <w:rsid w:val="32E7673F"/>
    <w:rsid w:val="33745C23"/>
    <w:rsid w:val="34126897"/>
    <w:rsid w:val="355E15AC"/>
    <w:rsid w:val="36A17531"/>
    <w:rsid w:val="37DB2FC4"/>
    <w:rsid w:val="384E7153"/>
    <w:rsid w:val="38F81EFB"/>
    <w:rsid w:val="38F92AED"/>
    <w:rsid w:val="391028FB"/>
    <w:rsid w:val="391D1E32"/>
    <w:rsid w:val="3A2E2A7D"/>
    <w:rsid w:val="3BF375EE"/>
    <w:rsid w:val="3CA12526"/>
    <w:rsid w:val="3CBF6FE9"/>
    <w:rsid w:val="3D746036"/>
    <w:rsid w:val="3D86072C"/>
    <w:rsid w:val="3D88776D"/>
    <w:rsid w:val="3DA859B0"/>
    <w:rsid w:val="3E614CE2"/>
    <w:rsid w:val="3EBC4C75"/>
    <w:rsid w:val="3F0F473E"/>
    <w:rsid w:val="3F10322B"/>
    <w:rsid w:val="3F2467E0"/>
    <w:rsid w:val="40837433"/>
    <w:rsid w:val="41313DB8"/>
    <w:rsid w:val="41CA7606"/>
    <w:rsid w:val="42F7211A"/>
    <w:rsid w:val="43D20617"/>
    <w:rsid w:val="442F6DDB"/>
    <w:rsid w:val="45083939"/>
    <w:rsid w:val="452C094C"/>
    <w:rsid w:val="45C929C8"/>
    <w:rsid w:val="45E57FCB"/>
    <w:rsid w:val="462B6B29"/>
    <w:rsid w:val="46357C16"/>
    <w:rsid w:val="463C2886"/>
    <w:rsid w:val="464D5ACD"/>
    <w:rsid w:val="46935C55"/>
    <w:rsid w:val="46F801AE"/>
    <w:rsid w:val="486D1F06"/>
    <w:rsid w:val="4A8A736F"/>
    <w:rsid w:val="4AEE77E6"/>
    <w:rsid w:val="4B1B1ED5"/>
    <w:rsid w:val="4D450196"/>
    <w:rsid w:val="4D8D341C"/>
    <w:rsid w:val="4DB300AD"/>
    <w:rsid w:val="4DD663F4"/>
    <w:rsid w:val="4E8F7D0A"/>
    <w:rsid w:val="4EAD3AA3"/>
    <w:rsid w:val="4ED212E5"/>
    <w:rsid w:val="4EFF1AFE"/>
    <w:rsid w:val="4F0D54BE"/>
    <w:rsid w:val="4F6518FD"/>
    <w:rsid w:val="4F695F38"/>
    <w:rsid w:val="505E72D4"/>
    <w:rsid w:val="509947B0"/>
    <w:rsid w:val="50D35024"/>
    <w:rsid w:val="51053BF3"/>
    <w:rsid w:val="51247D53"/>
    <w:rsid w:val="51A9581D"/>
    <w:rsid w:val="51B866CF"/>
    <w:rsid w:val="52197230"/>
    <w:rsid w:val="522529C6"/>
    <w:rsid w:val="52290B37"/>
    <w:rsid w:val="52392D03"/>
    <w:rsid w:val="526F691F"/>
    <w:rsid w:val="529261DA"/>
    <w:rsid w:val="52B05CF0"/>
    <w:rsid w:val="543077C4"/>
    <w:rsid w:val="54EC54F8"/>
    <w:rsid w:val="553B26C1"/>
    <w:rsid w:val="55457291"/>
    <w:rsid w:val="55611EBB"/>
    <w:rsid w:val="55A075C2"/>
    <w:rsid w:val="55B618D4"/>
    <w:rsid w:val="56400711"/>
    <w:rsid w:val="56B30108"/>
    <w:rsid w:val="5768391E"/>
    <w:rsid w:val="57B0158C"/>
    <w:rsid w:val="57C56E31"/>
    <w:rsid w:val="58221A37"/>
    <w:rsid w:val="5827711F"/>
    <w:rsid w:val="58407C58"/>
    <w:rsid w:val="58A90DE7"/>
    <w:rsid w:val="59262631"/>
    <w:rsid w:val="59D52AD5"/>
    <w:rsid w:val="5A540CA1"/>
    <w:rsid w:val="5A611414"/>
    <w:rsid w:val="5A8F02CD"/>
    <w:rsid w:val="5B1E49BA"/>
    <w:rsid w:val="5B3E75EF"/>
    <w:rsid w:val="5B6E03E6"/>
    <w:rsid w:val="5BA91858"/>
    <w:rsid w:val="5BDE751B"/>
    <w:rsid w:val="5C043055"/>
    <w:rsid w:val="5C0C75C0"/>
    <w:rsid w:val="5C9C54FC"/>
    <w:rsid w:val="5DED0F54"/>
    <w:rsid w:val="5E1A5E53"/>
    <w:rsid w:val="5EAD795A"/>
    <w:rsid w:val="5EC27110"/>
    <w:rsid w:val="5ECA1FD8"/>
    <w:rsid w:val="5ECF0857"/>
    <w:rsid w:val="5F021698"/>
    <w:rsid w:val="5F565C23"/>
    <w:rsid w:val="5FCA2621"/>
    <w:rsid w:val="60395218"/>
    <w:rsid w:val="60953C55"/>
    <w:rsid w:val="616C4A1E"/>
    <w:rsid w:val="62693B6F"/>
    <w:rsid w:val="629956F4"/>
    <w:rsid w:val="63347B93"/>
    <w:rsid w:val="63851418"/>
    <w:rsid w:val="639257BA"/>
    <w:rsid w:val="63E957D9"/>
    <w:rsid w:val="64490F6C"/>
    <w:rsid w:val="645D6377"/>
    <w:rsid w:val="657151D9"/>
    <w:rsid w:val="658345D9"/>
    <w:rsid w:val="66157F81"/>
    <w:rsid w:val="66D439F4"/>
    <w:rsid w:val="66D87988"/>
    <w:rsid w:val="6787144B"/>
    <w:rsid w:val="681056AC"/>
    <w:rsid w:val="6A7C6C09"/>
    <w:rsid w:val="6B1B727F"/>
    <w:rsid w:val="6D142D9C"/>
    <w:rsid w:val="6D3774EA"/>
    <w:rsid w:val="6E906D9A"/>
    <w:rsid w:val="6EA73627"/>
    <w:rsid w:val="6EAB14DE"/>
    <w:rsid w:val="6FE75573"/>
    <w:rsid w:val="70021AC7"/>
    <w:rsid w:val="70512822"/>
    <w:rsid w:val="70753983"/>
    <w:rsid w:val="7199571A"/>
    <w:rsid w:val="72547625"/>
    <w:rsid w:val="73506FBE"/>
    <w:rsid w:val="73745E91"/>
    <w:rsid w:val="746C29B2"/>
    <w:rsid w:val="753E32E8"/>
    <w:rsid w:val="75DD5F07"/>
    <w:rsid w:val="762A53DF"/>
    <w:rsid w:val="76476C44"/>
    <w:rsid w:val="76657C5B"/>
    <w:rsid w:val="76D0015E"/>
    <w:rsid w:val="770C2C1E"/>
    <w:rsid w:val="77841911"/>
    <w:rsid w:val="77D33D39"/>
    <w:rsid w:val="78772073"/>
    <w:rsid w:val="78A6518B"/>
    <w:rsid w:val="78B8554F"/>
    <w:rsid w:val="78D17A52"/>
    <w:rsid w:val="79B84FF0"/>
    <w:rsid w:val="7A4062FF"/>
    <w:rsid w:val="7AF214BD"/>
    <w:rsid w:val="7B187EFC"/>
    <w:rsid w:val="7B9E5942"/>
    <w:rsid w:val="7C724C66"/>
    <w:rsid w:val="7CED53B8"/>
    <w:rsid w:val="7CEE04F3"/>
    <w:rsid w:val="7D16490F"/>
    <w:rsid w:val="7D3D3CA4"/>
    <w:rsid w:val="7DFC1D56"/>
    <w:rsid w:val="7E27425E"/>
    <w:rsid w:val="7F692BAE"/>
    <w:rsid w:val="7F7D10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autoRedefine/>
    <w:unhideWhenUsed/>
    <w:qFormat/>
    <w:uiPriority w:val="0"/>
    <w:pPr>
      <w:keepNext/>
      <w:keepLines/>
      <w:spacing w:line="413" w:lineRule="auto"/>
      <w:outlineLvl w:val="2"/>
    </w:pPr>
    <w:rPr>
      <w:rFonts w:ascii="Calibri" w:hAnsi="Calibri" w:cs="Calibri"/>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0"/>
    <w:pPr>
      <w:ind w:left="1170"/>
    </w:pPr>
    <w:rPr>
      <w:rFonts w:ascii="宋体" w:hAnsi="宋体" w:eastAsia="宋体" w:cs="Times New Roman"/>
      <w:sz w:val="24"/>
      <w:szCs w:val="20"/>
    </w:rPr>
  </w:style>
  <w:style w:type="paragraph" w:customStyle="1" w:styleId="5">
    <w:name w:val="样式 正文文本缩进 + 行距: 1.5 倍行距"/>
    <w:basedOn w:val="1"/>
    <w:autoRedefine/>
    <w:qFormat/>
    <w:uiPriority w:val="0"/>
    <w:pPr>
      <w:spacing w:after="120"/>
      <w:ind w:left="90" w:leftChars="32" w:firstLine="560"/>
    </w:pPr>
    <w:rPr>
      <w:rFonts w:cs="宋体"/>
    </w:rPr>
  </w:style>
  <w:style w:type="paragraph" w:styleId="6">
    <w:name w:val="Date"/>
    <w:basedOn w:val="1"/>
    <w:next w:val="1"/>
    <w:link w:val="15"/>
    <w:autoRedefine/>
    <w:qFormat/>
    <w:uiPriority w:val="0"/>
    <w:pPr>
      <w:ind w:left="100" w:leftChars="2500"/>
    </w:pPr>
  </w:style>
  <w:style w:type="paragraph" w:styleId="7">
    <w:name w:val="Balloon Text"/>
    <w:basedOn w:val="1"/>
    <w:link w:val="16"/>
    <w:qFormat/>
    <w:uiPriority w:val="0"/>
    <w:rPr>
      <w:rFonts w:ascii="Calibri" w:hAnsi="Calibri"/>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rFonts w:ascii="Calibri" w:hAnsi="Calibri"/>
      <w:kern w:val="0"/>
      <w:sz w:val="24"/>
    </w:rPr>
  </w:style>
  <w:style w:type="paragraph" w:styleId="11">
    <w:name w:val="Body Text First Indent 2"/>
    <w:basedOn w:val="4"/>
    <w:next w:val="1"/>
    <w:autoRedefine/>
    <w:qFormat/>
    <w:uiPriority w:val="0"/>
    <w:pPr>
      <w:ind w:firstLine="420" w:firstLineChars="20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
    <w:name w:val="日期 Char"/>
    <w:basedOn w:val="14"/>
    <w:link w:val="6"/>
    <w:autoRedefine/>
    <w:qFormat/>
    <w:uiPriority w:val="0"/>
    <w:rPr>
      <w:kern w:val="2"/>
      <w:sz w:val="21"/>
      <w:szCs w:val="24"/>
    </w:rPr>
  </w:style>
  <w:style w:type="character" w:customStyle="1" w:styleId="16">
    <w:name w:val="批注框文本 Char"/>
    <w:basedOn w:val="14"/>
    <w:link w:val="7"/>
    <w:qFormat/>
    <w:uiPriority w:val="0"/>
    <w:rPr>
      <w:rFonts w:ascii="Calibri" w:hAnsi="Calibri"/>
      <w:kern w:val="2"/>
      <w:sz w:val="18"/>
      <w:szCs w:val="18"/>
    </w:rPr>
  </w:style>
  <w:style w:type="character" w:customStyle="1" w:styleId="17">
    <w:name w:val="标题 1 Char"/>
    <w:basedOn w:val="14"/>
    <w:link w:val="2"/>
    <w:qFormat/>
    <w:uiPriority w:val="0"/>
    <w:rPr>
      <w:rFonts w:ascii="宋体" w:hAnsi="宋体"/>
      <w:b/>
      <w:kern w:val="44"/>
      <w:sz w:val="48"/>
      <w:szCs w:val="48"/>
    </w:rPr>
  </w:style>
  <w:style w:type="character" w:customStyle="1" w:styleId="18">
    <w:name w:val="页脚 Char"/>
    <w:basedOn w:val="14"/>
    <w:link w:val="8"/>
    <w:autoRedefine/>
    <w:qFormat/>
    <w:uiPriority w:val="99"/>
    <w:rPr>
      <w:kern w:val="2"/>
      <w:sz w:val="18"/>
      <w:szCs w:val="18"/>
    </w:rPr>
  </w:style>
  <w:style w:type="character" w:customStyle="1" w:styleId="19">
    <w:name w:val="页眉 Char"/>
    <w:basedOn w:val="14"/>
    <w:link w:val="9"/>
    <w:autoRedefine/>
    <w:qFormat/>
    <w:uiPriority w:val="99"/>
    <w:rPr>
      <w:kern w:val="2"/>
      <w:sz w:val="18"/>
      <w:szCs w:val="18"/>
    </w:rPr>
  </w:style>
  <w:style w:type="paragraph" w:styleId="20">
    <w:name w:val="List Paragraph"/>
    <w:basedOn w:val="1"/>
    <w:autoRedefine/>
    <w:qFormat/>
    <w:uiPriority w:val="34"/>
    <w:pPr>
      <w:ind w:firstLine="420" w:firstLineChars="200"/>
    </w:pPr>
    <w:rPr>
      <w:rFonts w:ascii="Calibri" w:hAnsi="Calibri"/>
      <w:szCs w:val="22"/>
    </w:rPr>
  </w:style>
  <w:style w:type="paragraph" w:customStyle="1" w:styleId="21">
    <w:name w:val="List Paragraph1"/>
    <w:basedOn w:val="1"/>
    <w:autoRedefine/>
    <w:unhideWhenUsed/>
    <w:qFormat/>
    <w:uiPriority w:val="34"/>
    <w:pPr>
      <w:widowControl w:val="0"/>
      <w:adjustRightInd/>
      <w:snapToGrid/>
      <w:spacing w:after="0"/>
      <w:ind w:firstLine="420" w:firstLineChars="200"/>
      <w:jc w:val="both"/>
    </w:pPr>
    <w:rPr>
      <w:rFonts w:ascii="Calibri" w:hAnsi="Calibri" w:eastAsia="宋体"/>
      <w:kern w:val="2"/>
      <w:sz w:val="21"/>
      <w:szCs w:val="24"/>
    </w:rPr>
  </w:style>
  <w:style w:type="paragraph" w:customStyle="1" w:styleId="22">
    <w:name w:val="font7"/>
    <w:basedOn w:val="1"/>
    <w:qFormat/>
    <w:uiPriority w:val="6"/>
    <w:pPr>
      <w:widowControl/>
      <w:spacing w:before="100" w:beforeAutospacing="1" w:after="100" w:afterAutospacing="1"/>
      <w:jc w:val="left"/>
    </w:pPr>
    <w:rPr>
      <w:kern w:val="0"/>
      <w:sz w:val="28"/>
      <w:szCs w:val="28"/>
    </w:rPr>
  </w:style>
  <w:style w:type="paragraph" w:customStyle="1" w:styleId="23">
    <w:name w:val="列出段落1"/>
    <w:basedOn w:val="1"/>
    <w:qFormat/>
    <w:uiPriority w:val="0"/>
    <w:pPr>
      <w:ind w:firstLine="420" w:firstLineChars="200"/>
    </w:pPr>
    <w:rPr>
      <w:rFonts w:ascii="Calibri" w:hAnsi="Calibri"/>
      <w:szCs w:val="22"/>
    </w:rPr>
  </w:style>
  <w:style w:type="paragraph" w:customStyle="1" w:styleId="24">
    <w:name w:val="列出段落2"/>
    <w:basedOn w:val="1"/>
    <w:autoRedefine/>
    <w:qFormat/>
    <w:uiPriority w:val="0"/>
    <w:pPr>
      <w:ind w:firstLine="420" w:firstLineChars="200"/>
    </w:pPr>
    <w:rPr>
      <w:rFonts w:ascii="Calibri" w:hAnsi="Calibri"/>
      <w:szCs w:val="21"/>
    </w:rPr>
  </w:style>
  <w:style w:type="paragraph" w:customStyle="1" w:styleId="25">
    <w:name w:val="_Style 1"/>
    <w:basedOn w:val="1"/>
    <w:qFormat/>
    <w:uiPriority w:val="34"/>
    <w:pPr>
      <w:widowControl w:val="0"/>
      <w:adjustRightInd/>
      <w:snapToGrid/>
      <w:spacing w:after="0"/>
      <w:ind w:firstLine="420" w:firstLineChars="200"/>
      <w:jc w:val="both"/>
    </w:pPr>
    <w:rPr>
      <w:rFonts w:ascii="Calibri" w:hAnsi="Calibri" w:eastAsia="宋体"/>
      <w:kern w:val="2"/>
      <w:sz w:val="21"/>
      <w:szCs w:val="24"/>
    </w:rPr>
  </w:style>
  <w:style w:type="character" w:customStyle="1" w:styleId="26">
    <w:name w:val="NormalCharacter"/>
    <w:autoRedefine/>
    <w:qFormat/>
    <w:uiPriority w:val="0"/>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9351</Words>
  <Characters>9936</Characters>
  <Lines>26</Lines>
  <Paragraphs>7</Paragraphs>
  <TotalTime>35</TotalTime>
  <ScaleCrop>false</ScaleCrop>
  <LinksUpToDate>false</LinksUpToDate>
  <CharactersWithSpaces>9995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2016-04-30T00:35:00Z</dcterms:created>
  <dc:creator>微软用户</dc:creator>
  <cp:lastModifiedBy>Administrator</cp:lastModifiedBy>
  <cp:lastPrinted>2022-08-28T06:38:00Z</cp:lastPrinted>
  <dcterms:modified xsi:type="dcterms:W3CDTF">2025-02-23T02:03:59Z</dcterms:modified>
  <dc:title>防水技术协议</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AD3CFE29EC9A451BB16A10615A198492_13</vt:lpwstr>
  </property>
  <property fmtid="{D5CDD505-2E9C-101B-9397-08002B2CF9AE}" pid="4" name="KSOTemplateDocerSaveRecord">
    <vt:lpwstr>eyJoZGlkIjoiYzVhN2Y2NGYwZDIyMzk2NjIwZDhhYjk3NGNiYzdkNmYifQ==</vt:lpwstr>
  </property>
</Properties>
</file>